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7D" w:rsidRPr="00DD0D7C" w:rsidRDefault="00477FE6" w:rsidP="0071617D">
      <w:pPr>
        <w:tabs>
          <w:tab w:val="left" w:pos="540"/>
        </w:tabs>
        <w:spacing w:after="0"/>
        <w:jc w:val="both"/>
        <w:rPr>
          <w:rFonts w:ascii="Times New Roman" w:hAnsi="Times New Roman"/>
        </w:rPr>
      </w:pPr>
      <w:r>
        <w:rPr>
          <w:rFonts w:ascii="Times New Roman" w:hAnsi="Times New Roman"/>
        </w:rPr>
        <w:t>Agenda Item:</w:t>
      </w:r>
      <w:r>
        <w:rPr>
          <w:rFonts w:ascii="Times New Roman" w:hAnsi="Times New Roman"/>
        </w:rPr>
        <w:tab/>
      </w:r>
      <w:r>
        <w:rPr>
          <w:rFonts w:ascii="Times New Roman" w:hAnsi="Times New Roman"/>
        </w:rPr>
        <w:tab/>
        <w:t>2012-68</w:t>
      </w:r>
    </w:p>
    <w:p w:rsidR="0071617D" w:rsidRPr="00DD0D7C" w:rsidRDefault="0071617D" w:rsidP="0071617D">
      <w:pPr>
        <w:tabs>
          <w:tab w:val="left" w:pos="540"/>
        </w:tabs>
        <w:spacing w:after="0"/>
        <w:jc w:val="both"/>
        <w:rPr>
          <w:rFonts w:ascii="Times New Roman" w:hAnsi="Times New Roman"/>
        </w:rPr>
      </w:pP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Submitted by:</w:t>
      </w:r>
      <w:r w:rsidRPr="00DD0D7C">
        <w:rPr>
          <w:rFonts w:ascii="Times New Roman" w:hAnsi="Times New Roman"/>
        </w:rPr>
        <w:tab/>
      </w:r>
      <w:r w:rsidRPr="00DD0D7C">
        <w:rPr>
          <w:rFonts w:ascii="Times New Roman" w:hAnsi="Times New Roman"/>
        </w:rPr>
        <w:tab/>
        <w:t xml:space="preserve">Jim </w:t>
      </w:r>
      <w:proofErr w:type="spellStart"/>
      <w:r w:rsidRPr="00DD0D7C">
        <w:rPr>
          <w:rFonts w:ascii="Times New Roman" w:hAnsi="Times New Roman"/>
        </w:rPr>
        <w:t>Gosdin</w:t>
      </w:r>
      <w:proofErr w:type="spellEnd"/>
      <w:r w:rsidRPr="00DD0D7C">
        <w:rPr>
          <w:rFonts w:ascii="Times New Roman" w:hAnsi="Times New Roman"/>
        </w:rPr>
        <w:t xml:space="preserve"> and John </w:t>
      </w:r>
      <w:proofErr w:type="spellStart"/>
      <w:r w:rsidRPr="00DD0D7C">
        <w:rPr>
          <w:rFonts w:ascii="Times New Roman" w:hAnsi="Times New Roman"/>
        </w:rPr>
        <w:t>Rothermel</w:t>
      </w:r>
      <w:proofErr w:type="spellEnd"/>
    </w:p>
    <w:p w:rsidR="0071617D" w:rsidRPr="00DD0D7C" w:rsidRDefault="0071617D" w:rsidP="0071617D">
      <w:pPr>
        <w:tabs>
          <w:tab w:val="left" w:pos="540"/>
        </w:tabs>
        <w:spacing w:after="0"/>
        <w:jc w:val="both"/>
        <w:rPr>
          <w:rFonts w:ascii="Times New Roman" w:hAnsi="Times New Roman"/>
        </w:rPr>
      </w:pP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On Behalf of:</w:t>
      </w:r>
      <w:r w:rsidRPr="00DD0D7C">
        <w:rPr>
          <w:rFonts w:ascii="Times New Roman" w:hAnsi="Times New Roman"/>
        </w:rPr>
        <w:tab/>
      </w:r>
      <w:r w:rsidRPr="00DD0D7C">
        <w:rPr>
          <w:rFonts w:ascii="Times New Roman" w:hAnsi="Times New Roman"/>
        </w:rPr>
        <w:tab/>
        <w:t>Stewart Title Guaranty Company</w:t>
      </w:r>
    </w:p>
    <w:p w:rsidR="0071617D" w:rsidRPr="00DD0D7C" w:rsidRDefault="0071617D" w:rsidP="0071617D">
      <w:pPr>
        <w:tabs>
          <w:tab w:val="left" w:pos="540"/>
        </w:tabs>
        <w:spacing w:after="0"/>
        <w:jc w:val="both"/>
        <w:rPr>
          <w:rFonts w:ascii="Times New Roman" w:hAnsi="Times New Roman"/>
        </w:rPr>
      </w:pP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Address:</w:t>
      </w:r>
      <w:r w:rsidRPr="00DD0D7C">
        <w:rPr>
          <w:rFonts w:ascii="Times New Roman" w:hAnsi="Times New Roman"/>
        </w:rPr>
        <w:tab/>
      </w:r>
      <w:r w:rsidRPr="00DD0D7C">
        <w:rPr>
          <w:rFonts w:ascii="Times New Roman" w:hAnsi="Times New Roman"/>
        </w:rPr>
        <w:tab/>
        <w:t>1980 Post Oak Blvd., Suite 710</w:t>
      </w: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ab/>
      </w:r>
      <w:r w:rsidRPr="00DD0D7C">
        <w:rPr>
          <w:rFonts w:ascii="Times New Roman" w:hAnsi="Times New Roman"/>
        </w:rPr>
        <w:tab/>
      </w:r>
      <w:r w:rsidR="00505836">
        <w:rPr>
          <w:rFonts w:ascii="Times New Roman" w:hAnsi="Times New Roman"/>
        </w:rPr>
        <w:tab/>
      </w:r>
      <w:r w:rsidR="00505836">
        <w:rPr>
          <w:rFonts w:ascii="Times New Roman" w:hAnsi="Times New Roman"/>
        </w:rPr>
        <w:tab/>
      </w:r>
      <w:r w:rsidRPr="00DD0D7C">
        <w:rPr>
          <w:rFonts w:ascii="Times New Roman" w:hAnsi="Times New Roman"/>
        </w:rPr>
        <w:t>Houston, Texas  77056</w:t>
      </w:r>
    </w:p>
    <w:p w:rsidR="0071617D" w:rsidRPr="00DD0D7C" w:rsidRDefault="0071617D" w:rsidP="0071617D">
      <w:pPr>
        <w:tabs>
          <w:tab w:val="left" w:pos="540"/>
        </w:tabs>
        <w:spacing w:after="0"/>
        <w:jc w:val="both"/>
        <w:rPr>
          <w:rFonts w:ascii="Times New Roman" w:hAnsi="Times New Roman"/>
        </w:rPr>
      </w:pP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Telephone No.:</w:t>
      </w:r>
      <w:r w:rsidRPr="00DD0D7C">
        <w:rPr>
          <w:rFonts w:ascii="Times New Roman" w:hAnsi="Times New Roman"/>
        </w:rPr>
        <w:tab/>
      </w:r>
      <w:r w:rsidR="00505836">
        <w:rPr>
          <w:rFonts w:ascii="Times New Roman" w:hAnsi="Times New Roman"/>
        </w:rPr>
        <w:tab/>
      </w:r>
      <w:r w:rsidRPr="00DD0D7C">
        <w:rPr>
          <w:rFonts w:ascii="Times New Roman" w:hAnsi="Times New Roman"/>
        </w:rPr>
        <w:t>(713) 625-8228</w:t>
      </w: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71617D" w:rsidRPr="00DD0D7C" w:rsidRDefault="0071617D" w:rsidP="0071617D">
      <w:pPr>
        <w:tabs>
          <w:tab w:val="left" w:pos="540"/>
        </w:tabs>
        <w:spacing w:after="0"/>
        <w:jc w:val="both"/>
        <w:rPr>
          <w:rFonts w:ascii="Times New Roman" w:hAnsi="Times New Roman"/>
        </w:rPr>
      </w:pPr>
    </w:p>
    <w:p w:rsidR="0071617D" w:rsidRPr="00DD0D7C" w:rsidRDefault="0071617D" w:rsidP="0071617D">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following revisions to the </w:t>
      </w:r>
      <w:r>
        <w:rPr>
          <w:rFonts w:ascii="Times New Roman" w:hAnsi="Times New Roman"/>
        </w:rPr>
        <w:t>Procedural Rule P-9.b</w:t>
      </w:r>
      <w:proofErr w:type="gramStart"/>
      <w:r>
        <w:rPr>
          <w:rFonts w:ascii="Times New Roman" w:hAnsi="Times New Roman"/>
        </w:rPr>
        <w:t>.(</w:t>
      </w:r>
      <w:proofErr w:type="gramEnd"/>
      <w:r>
        <w:rPr>
          <w:rFonts w:ascii="Times New Roman" w:hAnsi="Times New Roman"/>
        </w:rPr>
        <w:t>9)</w:t>
      </w:r>
      <w:r w:rsidRPr="00DD0D7C">
        <w:rPr>
          <w:rFonts w:ascii="Times New Roman" w:hAnsi="Times New Roman"/>
        </w:rPr>
        <w:t>:</w:t>
      </w:r>
    </w:p>
    <w:p w:rsidR="0071617D" w:rsidRDefault="0071617D" w:rsidP="0071617D">
      <w:pPr>
        <w:tabs>
          <w:tab w:val="left" w:pos="540"/>
        </w:tabs>
        <w:spacing w:after="0"/>
        <w:jc w:val="both"/>
        <w:rPr>
          <w:rFonts w:ascii="Times New Roman" w:hAnsi="Times New Roman"/>
        </w:rPr>
      </w:pPr>
    </w:p>
    <w:p w:rsidR="0071617D" w:rsidRPr="00DD0D7C" w:rsidRDefault="0071617D" w:rsidP="0071617D">
      <w:pPr>
        <w:tabs>
          <w:tab w:val="left" w:pos="540"/>
        </w:tabs>
        <w:spacing w:after="0"/>
        <w:jc w:val="both"/>
        <w:rPr>
          <w:rFonts w:ascii="Times New Roman" w:hAnsi="Times New Roman"/>
          <w:u w:val="single"/>
        </w:rPr>
      </w:pPr>
      <w:r>
        <w:t>P.9.b</w:t>
      </w:r>
      <w:proofErr w:type="gramStart"/>
      <w:r>
        <w:t>.(</w:t>
      </w:r>
      <w:proofErr w:type="gramEnd"/>
      <w:r>
        <w:t xml:space="preserve">9)  When a </w:t>
      </w:r>
      <w:r>
        <w:rPr>
          <w:u w:val="single"/>
        </w:rPr>
        <w:t>loan</w:t>
      </w:r>
      <w:r>
        <w:t xml:space="preserve"> [</w:t>
      </w:r>
      <w:r w:rsidRPr="00DD0D7C">
        <w:rPr>
          <w:strike/>
        </w:rPr>
        <w:t>mortgagee</w:t>
      </w:r>
      <w:r>
        <w:t xml:space="preserve">] policy is to be issued covering the lien securing an indebtedness against land used or to be used primarily for residential purposes, the company may, if it considers the risk insurable, attach to the policy endorsement </w:t>
      </w:r>
      <w:r w:rsidRPr="001B1B32">
        <w:t>Form T-36</w:t>
      </w:r>
      <w:r>
        <w:t xml:space="preserve"> with any applicable exceptions in paragraph (b) upon the payment of the premium prescribed in Rate</w:t>
      </w:r>
      <w:r w:rsidRPr="001B1B32">
        <w:t xml:space="preserve"> Rule R-11.g</w:t>
      </w:r>
      <w:r>
        <w:t xml:space="preserve">.  </w:t>
      </w:r>
      <w:r w:rsidRPr="00DD0D7C">
        <w:rPr>
          <w:u w:val="single"/>
        </w:rPr>
        <w:t xml:space="preserve">When a </w:t>
      </w:r>
      <w:r w:rsidRPr="001C32D1">
        <w:rPr>
          <w:u w:val="single"/>
        </w:rPr>
        <w:t>loan</w:t>
      </w:r>
      <w:r w:rsidRPr="00DD0D7C">
        <w:rPr>
          <w:u w:val="single"/>
        </w:rPr>
        <w:t xml:space="preserve"> policy is to be issued covering the lien securing </w:t>
      </w:r>
      <w:proofErr w:type="gramStart"/>
      <w:r w:rsidRPr="00DD0D7C">
        <w:rPr>
          <w:u w:val="single"/>
        </w:rPr>
        <w:t>an indebtedness</w:t>
      </w:r>
      <w:proofErr w:type="gramEnd"/>
      <w:r w:rsidRPr="00DD0D7C">
        <w:rPr>
          <w:u w:val="single"/>
        </w:rPr>
        <w:t xml:space="preserve"> against land </w:t>
      </w:r>
      <w:r>
        <w:rPr>
          <w:u w:val="single"/>
        </w:rPr>
        <w:t xml:space="preserve">that is not </w:t>
      </w:r>
      <w:r w:rsidRPr="00DD0D7C">
        <w:rPr>
          <w:u w:val="single"/>
        </w:rPr>
        <w:t xml:space="preserve">used or to be used primarily for residential purposes, the company may, if it considers the risk insurable, attach to the policy endorsement </w:t>
      </w:r>
      <w:r w:rsidRPr="001B1B32">
        <w:rPr>
          <w:u w:val="single"/>
        </w:rPr>
        <w:t>Form T-36.</w:t>
      </w:r>
      <w:r>
        <w:rPr>
          <w:u w:val="single"/>
        </w:rPr>
        <w:t xml:space="preserve">1 </w:t>
      </w:r>
      <w:r w:rsidRPr="00DD0D7C">
        <w:rPr>
          <w:u w:val="single"/>
        </w:rPr>
        <w:t>upon the payment of the premium prescribed in Rate</w:t>
      </w:r>
      <w:r w:rsidRPr="001B1B32">
        <w:rPr>
          <w:u w:val="single"/>
        </w:rPr>
        <w:t xml:space="preserve"> Rule R-11.g.</w:t>
      </w:r>
      <w:r w:rsidRPr="00DD0D7C">
        <w:rPr>
          <w:u w:val="single"/>
        </w:rPr>
        <w:t xml:space="preserve">  </w:t>
      </w:r>
    </w:p>
    <w:p w:rsidR="0071617D" w:rsidRPr="00DD0D7C" w:rsidRDefault="0071617D" w:rsidP="0071617D">
      <w:pPr>
        <w:tabs>
          <w:tab w:val="left" w:pos="540"/>
        </w:tabs>
        <w:spacing w:after="0"/>
        <w:jc w:val="both"/>
        <w:rPr>
          <w:rFonts w:ascii="Times New Roman" w:hAnsi="Times New Roman"/>
          <w:u w:val="single"/>
        </w:rPr>
      </w:pPr>
    </w:p>
    <w:p w:rsidR="0071617D" w:rsidRDefault="0071617D" w:rsidP="0071617D">
      <w:pPr>
        <w:tabs>
          <w:tab w:val="left" w:pos="540"/>
        </w:tabs>
        <w:spacing w:after="0"/>
        <w:jc w:val="both"/>
        <w:rPr>
          <w:rFonts w:ascii="Times New Roman" w:hAnsi="Times New Roman"/>
        </w:rPr>
      </w:pPr>
      <w:r>
        <w:rPr>
          <w:rFonts w:ascii="Times New Roman" w:hAnsi="Times New Roman"/>
        </w:rPr>
        <w:t>Justification:</w:t>
      </w:r>
    </w:p>
    <w:p w:rsidR="0071617D" w:rsidRDefault="0071617D" w:rsidP="0071617D">
      <w:pPr>
        <w:tabs>
          <w:tab w:val="left" w:pos="540"/>
        </w:tabs>
        <w:spacing w:after="0"/>
        <w:jc w:val="both"/>
        <w:rPr>
          <w:rFonts w:ascii="Times New Roman" w:hAnsi="Times New Roman"/>
        </w:rPr>
      </w:pPr>
    </w:p>
    <w:p w:rsidR="0071617D" w:rsidRDefault="0071617D" w:rsidP="0071617D">
      <w:pPr>
        <w:tabs>
          <w:tab w:val="left" w:pos="540"/>
        </w:tabs>
        <w:spacing w:after="0"/>
        <w:jc w:val="both"/>
        <w:rPr>
          <w:rFonts w:ascii="Times New Roman" w:hAnsi="Times New Roman"/>
        </w:rPr>
      </w:pPr>
      <w:r>
        <w:rPr>
          <w:rFonts w:ascii="Times New Roman" w:hAnsi="Times New Roman"/>
        </w:rPr>
        <w:t xml:space="preserve">In commercial loan transactions in other jurisdictions, an ALTA 8.2-06 Endorsement is commonly requested and issued.  </w:t>
      </w:r>
    </w:p>
    <w:p w:rsidR="005961B1" w:rsidRDefault="005961B1"/>
    <w:sectPr w:rsidR="005961B1" w:rsidSect="00B575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40" w:rsidRDefault="00557440" w:rsidP="00505836">
      <w:pPr>
        <w:spacing w:after="0" w:line="240" w:lineRule="auto"/>
      </w:pPr>
      <w:r>
        <w:separator/>
      </w:r>
    </w:p>
  </w:endnote>
  <w:endnote w:type="continuationSeparator" w:id="0">
    <w:p w:rsidR="00557440" w:rsidRDefault="00557440" w:rsidP="0050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36" w:rsidRDefault="005058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36" w:rsidRPr="00505836" w:rsidRDefault="00FA61A8" w:rsidP="00505836">
    <w:pPr>
      <w:pStyle w:val="Footer"/>
    </w:pPr>
    <w:r w:rsidRPr="00FA61A8">
      <w:rPr>
        <w:noProof/>
        <w:vanish/>
        <w:sz w:val="16"/>
      </w:rPr>
      <w:t>{</w:t>
    </w:r>
    <w:r w:rsidRPr="00FA61A8">
      <w:rPr>
        <w:noProof/>
        <w:sz w:val="16"/>
      </w:rPr>
      <w:t>00578993;1</w:t>
    </w:r>
    <w:r w:rsidRPr="00FA61A8">
      <w:rPr>
        <w:noProof/>
        <w:vanish/>
        <w:sz w:val="16"/>
      </w:rPr>
      <w:t>}</w:t>
    </w:r>
    <w:r w:rsidR="00505836">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36" w:rsidRDefault="005058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40" w:rsidRDefault="00557440" w:rsidP="00505836">
      <w:pPr>
        <w:spacing w:after="0" w:line="240" w:lineRule="auto"/>
        <w:rPr>
          <w:noProof/>
        </w:rPr>
      </w:pPr>
      <w:r>
        <w:rPr>
          <w:noProof/>
        </w:rPr>
        <w:separator/>
      </w:r>
    </w:p>
  </w:footnote>
  <w:footnote w:type="continuationSeparator" w:id="0">
    <w:p w:rsidR="00557440" w:rsidRDefault="00557440" w:rsidP="0050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36" w:rsidRDefault="005058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36" w:rsidRDefault="005058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36" w:rsidRDefault="005058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617D"/>
    <w:rsid w:val="000E5520"/>
    <w:rsid w:val="001B1B32"/>
    <w:rsid w:val="00292707"/>
    <w:rsid w:val="00362BDF"/>
    <w:rsid w:val="00477FE6"/>
    <w:rsid w:val="00505836"/>
    <w:rsid w:val="00557440"/>
    <w:rsid w:val="005961B1"/>
    <w:rsid w:val="006A1BC3"/>
    <w:rsid w:val="0071617D"/>
    <w:rsid w:val="009C09D5"/>
    <w:rsid w:val="00AF128E"/>
    <w:rsid w:val="00B5759D"/>
    <w:rsid w:val="00D5221F"/>
    <w:rsid w:val="00F720A1"/>
    <w:rsid w:val="00FA6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617D"/>
    <w:rPr>
      <w:color w:val="0000FF"/>
      <w:u w:val="single"/>
    </w:rPr>
  </w:style>
  <w:style w:type="paragraph" w:styleId="Header">
    <w:name w:val="header"/>
    <w:basedOn w:val="Normal"/>
    <w:link w:val="HeaderChar"/>
    <w:uiPriority w:val="99"/>
    <w:semiHidden/>
    <w:unhideWhenUsed/>
    <w:rsid w:val="00505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836"/>
    <w:rPr>
      <w:rFonts w:ascii="Calibri" w:eastAsia="Calibri" w:hAnsi="Calibri" w:cs="Times New Roman"/>
    </w:rPr>
  </w:style>
  <w:style w:type="paragraph" w:styleId="Footer">
    <w:name w:val="footer"/>
    <w:basedOn w:val="Normal"/>
    <w:link w:val="FooterChar"/>
    <w:uiPriority w:val="99"/>
    <w:semiHidden/>
    <w:unhideWhenUsed/>
    <w:rsid w:val="005058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83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617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Company>sisco</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Amendment to P-9.b.(9) (00578993).DOCX</dc:title>
  <dc:subject>00578993;1</dc:subject>
  <dc:creator>JGOSDIN</dc:creator>
  <cp:lastModifiedBy>Kim Zapalac</cp:lastModifiedBy>
  <cp:revision>2</cp:revision>
  <cp:lastPrinted>2011-12-07T20:00:00Z</cp:lastPrinted>
  <dcterms:created xsi:type="dcterms:W3CDTF">2014-03-14T19:00:00Z</dcterms:created>
  <dcterms:modified xsi:type="dcterms:W3CDTF">2014-03-14T19:00:00Z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oFAAC41Wbh9etaXNeLV0JcWHVJK2UrdKicPMeRYYMzyaRxJoxU17ygBk0fYLQI62Ww1olbBtT+re7T9w
we7rGGLieHGsk7b0JSGBqSzP4PDbxS1kt9xQrEDdsomxE4VMBOAerno0X6lGALVwwe7rGGLieHGs
k7b0JSGBqSzP4PDbxS1kt9xQrEDdsrL+BwJ6GSpUoRkt/VEbMqvl0wdDdZjabvuqgb9xoIwdQu9Z
f6RZ7Y3zWlRPGdg6+</vt:lpwstr>
  </property>
  <property fmtid="{D5CDD505-2E9C-101B-9397-08002B2CF9AE}" pid="3" name="MAIL_MSG_ID2">
    <vt:lpwstr>9+CY7iB1mINY0u+G+G1fw3fOAIXrbjS3mQ+TQL4NSEg1DDCYsjNXXcu1cd2
Dcb4AHi/zivgNehVmdpptTUp8C5RLfkXTSYdVcJ2Wp6yY9am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