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C81" w:rsidRPr="0072579F" w:rsidRDefault="002A368C" w:rsidP="002A368C">
      <w:pPr>
        <w:tabs>
          <w:tab w:val="left" w:pos="2520"/>
        </w:tabs>
        <w:spacing w:after="0" w:line="240" w:lineRule="auto"/>
        <w:rPr>
          <w:rFonts w:ascii="Times New Roman" w:hAnsi="Times New Roman" w:cs="Times New Roman"/>
          <w:b/>
          <w:sz w:val="24"/>
          <w:szCs w:val="24"/>
        </w:rPr>
      </w:pPr>
      <w:r w:rsidRPr="0072579F">
        <w:rPr>
          <w:rFonts w:ascii="Times New Roman" w:hAnsi="Times New Roman" w:cs="Times New Roman"/>
          <w:b/>
          <w:sz w:val="24"/>
          <w:szCs w:val="24"/>
        </w:rPr>
        <w:t>Agenda Item:</w:t>
      </w:r>
      <w:r w:rsidRPr="0072579F">
        <w:rPr>
          <w:rFonts w:ascii="Times New Roman" w:hAnsi="Times New Roman" w:cs="Times New Roman"/>
          <w:b/>
          <w:sz w:val="24"/>
          <w:szCs w:val="24"/>
        </w:rPr>
        <w:tab/>
        <w:t>2012-65</w:t>
      </w:r>
      <w:r w:rsidR="007B4C71" w:rsidRPr="0072579F">
        <w:rPr>
          <w:rFonts w:ascii="Times New Roman" w:hAnsi="Times New Roman" w:cs="Times New Roman"/>
          <w:b/>
          <w:sz w:val="24"/>
          <w:szCs w:val="24"/>
        </w:rPr>
        <w:t xml:space="preserve"> </w:t>
      </w:r>
      <w:r w:rsidRPr="0072579F">
        <w:rPr>
          <w:rFonts w:ascii="Times New Roman" w:hAnsi="Times New Roman" w:cs="Times New Roman"/>
          <w:b/>
          <w:sz w:val="24"/>
          <w:szCs w:val="24"/>
        </w:rPr>
        <w:t>(Amended)</w:t>
      </w:r>
    </w:p>
    <w:p w:rsidR="002A368C" w:rsidRPr="0072579F" w:rsidRDefault="002A368C" w:rsidP="002A368C">
      <w:pPr>
        <w:tabs>
          <w:tab w:val="left" w:pos="2520"/>
        </w:tabs>
        <w:spacing w:after="0" w:line="240" w:lineRule="auto"/>
        <w:rPr>
          <w:rFonts w:ascii="Times New Roman" w:hAnsi="Times New Roman" w:cs="Times New Roman"/>
          <w:b/>
          <w:sz w:val="24"/>
          <w:szCs w:val="24"/>
        </w:rPr>
      </w:pPr>
    </w:p>
    <w:p w:rsidR="002A368C" w:rsidRPr="0072579F" w:rsidRDefault="002A368C" w:rsidP="002A368C">
      <w:pPr>
        <w:tabs>
          <w:tab w:val="left" w:pos="2520"/>
        </w:tabs>
        <w:spacing w:after="0" w:line="240" w:lineRule="auto"/>
        <w:rPr>
          <w:rFonts w:ascii="Times New Roman" w:hAnsi="Times New Roman" w:cs="Times New Roman"/>
          <w:b/>
          <w:sz w:val="24"/>
          <w:szCs w:val="24"/>
        </w:rPr>
      </w:pPr>
      <w:r w:rsidRPr="0072579F">
        <w:rPr>
          <w:rFonts w:ascii="Times New Roman" w:hAnsi="Times New Roman" w:cs="Times New Roman"/>
          <w:b/>
          <w:sz w:val="24"/>
          <w:szCs w:val="24"/>
        </w:rPr>
        <w:t>Submitted by:</w:t>
      </w:r>
      <w:r w:rsidRPr="0072579F">
        <w:rPr>
          <w:rFonts w:ascii="Times New Roman" w:hAnsi="Times New Roman" w:cs="Times New Roman"/>
          <w:b/>
          <w:sz w:val="24"/>
          <w:szCs w:val="24"/>
        </w:rPr>
        <w:tab/>
        <w:t xml:space="preserve">Jim </w:t>
      </w:r>
      <w:proofErr w:type="spellStart"/>
      <w:r w:rsidRPr="0072579F">
        <w:rPr>
          <w:rFonts w:ascii="Times New Roman" w:hAnsi="Times New Roman" w:cs="Times New Roman"/>
          <w:b/>
          <w:sz w:val="24"/>
          <w:szCs w:val="24"/>
        </w:rPr>
        <w:t>Gosdin</w:t>
      </w:r>
      <w:proofErr w:type="spellEnd"/>
      <w:r w:rsidRPr="0072579F">
        <w:rPr>
          <w:rFonts w:ascii="Times New Roman" w:hAnsi="Times New Roman" w:cs="Times New Roman"/>
          <w:b/>
          <w:sz w:val="24"/>
          <w:szCs w:val="24"/>
        </w:rPr>
        <w:t xml:space="preserve"> and John </w:t>
      </w:r>
      <w:proofErr w:type="spellStart"/>
      <w:r w:rsidRPr="0072579F">
        <w:rPr>
          <w:rFonts w:ascii="Times New Roman" w:hAnsi="Times New Roman" w:cs="Times New Roman"/>
          <w:b/>
          <w:sz w:val="24"/>
          <w:szCs w:val="24"/>
        </w:rPr>
        <w:t>Rothermel</w:t>
      </w:r>
      <w:proofErr w:type="spellEnd"/>
    </w:p>
    <w:p w:rsidR="002A368C" w:rsidRPr="0072579F" w:rsidRDefault="002A368C" w:rsidP="002A368C">
      <w:pPr>
        <w:tabs>
          <w:tab w:val="left" w:pos="2520"/>
        </w:tabs>
        <w:spacing w:after="0" w:line="240" w:lineRule="auto"/>
        <w:rPr>
          <w:rFonts w:ascii="Times New Roman" w:hAnsi="Times New Roman" w:cs="Times New Roman"/>
          <w:b/>
          <w:sz w:val="24"/>
          <w:szCs w:val="24"/>
        </w:rPr>
      </w:pPr>
    </w:p>
    <w:p w:rsidR="002A368C" w:rsidRPr="0072579F" w:rsidRDefault="002A368C" w:rsidP="002A368C">
      <w:pPr>
        <w:tabs>
          <w:tab w:val="left" w:pos="2520"/>
        </w:tabs>
        <w:spacing w:after="0" w:line="240" w:lineRule="auto"/>
        <w:rPr>
          <w:rFonts w:ascii="Times New Roman" w:hAnsi="Times New Roman" w:cs="Times New Roman"/>
          <w:b/>
          <w:sz w:val="24"/>
          <w:szCs w:val="24"/>
        </w:rPr>
      </w:pPr>
      <w:r w:rsidRPr="0072579F">
        <w:rPr>
          <w:rFonts w:ascii="Times New Roman" w:hAnsi="Times New Roman" w:cs="Times New Roman"/>
          <w:b/>
          <w:sz w:val="24"/>
          <w:szCs w:val="24"/>
        </w:rPr>
        <w:t>On Behalf of:</w:t>
      </w:r>
      <w:r w:rsidRPr="0072579F">
        <w:rPr>
          <w:rFonts w:ascii="Times New Roman" w:hAnsi="Times New Roman" w:cs="Times New Roman"/>
          <w:b/>
          <w:sz w:val="24"/>
          <w:szCs w:val="24"/>
        </w:rPr>
        <w:tab/>
        <w:t>Stewart Title Guaranty Company</w:t>
      </w:r>
    </w:p>
    <w:p w:rsidR="002A368C" w:rsidRPr="0072579F" w:rsidRDefault="002A368C" w:rsidP="002A368C">
      <w:pPr>
        <w:tabs>
          <w:tab w:val="left" w:pos="2520"/>
        </w:tabs>
        <w:spacing w:after="0" w:line="240" w:lineRule="auto"/>
        <w:rPr>
          <w:rFonts w:ascii="Times New Roman" w:hAnsi="Times New Roman" w:cs="Times New Roman"/>
          <w:b/>
          <w:sz w:val="24"/>
          <w:szCs w:val="24"/>
        </w:rPr>
      </w:pPr>
    </w:p>
    <w:p w:rsidR="002A368C" w:rsidRPr="0072579F" w:rsidRDefault="002A368C" w:rsidP="002A368C">
      <w:pPr>
        <w:tabs>
          <w:tab w:val="left" w:pos="2520"/>
        </w:tabs>
        <w:spacing w:after="0" w:line="240" w:lineRule="auto"/>
        <w:rPr>
          <w:rFonts w:ascii="Times New Roman" w:hAnsi="Times New Roman" w:cs="Times New Roman"/>
          <w:b/>
          <w:sz w:val="24"/>
          <w:szCs w:val="24"/>
        </w:rPr>
      </w:pPr>
      <w:r w:rsidRPr="0072579F">
        <w:rPr>
          <w:rFonts w:ascii="Times New Roman" w:hAnsi="Times New Roman" w:cs="Times New Roman"/>
          <w:b/>
          <w:sz w:val="24"/>
          <w:szCs w:val="24"/>
        </w:rPr>
        <w:t>Address:</w:t>
      </w:r>
      <w:r w:rsidRPr="0072579F">
        <w:rPr>
          <w:rFonts w:ascii="Times New Roman" w:hAnsi="Times New Roman" w:cs="Times New Roman"/>
          <w:b/>
          <w:sz w:val="24"/>
          <w:szCs w:val="24"/>
        </w:rPr>
        <w:tab/>
        <w:t>1980 Post Oak Blvd., Suite 710</w:t>
      </w:r>
    </w:p>
    <w:p w:rsidR="002A368C" w:rsidRPr="0072579F" w:rsidRDefault="002A368C" w:rsidP="002A368C">
      <w:pPr>
        <w:tabs>
          <w:tab w:val="left" w:pos="2520"/>
        </w:tabs>
        <w:spacing w:after="0" w:line="240" w:lineRule="auto"/>
        <w:rPr>
          <w:rFonts w:ascii="Times New Roman" w:hAnsi="Times New Roman" w:cs="Times New Roman"/>
          <w:b/>
          <w:sz w:val="24"/>
          <w:szCs w:val="24"/>
        </w:rPr>
      </w:pPr>
      <w:r w:rsidRPr="0072579F">
        <w:rPr>
          <w:rFonts w:ascii="Times New Roman" w:hAnsi="Times New Roman" w:cs="Times New Roman"/>
          <w:b/>
          <w:sz w:val="24"/>
          <w:szCs w:val="24"/>
        </w:rPr>
        <w:tab/>
        <w:t>Houston, Texas 77056</w:t>
      </w:r>
    </w:p>
    <w:p w:rsidR="002A368C" w:rsidRPr="0072579F" w:rsidRDefault="002A368C" w:rsidP="002A368C">
      <w:pPr>
        <w:tabs>
          <w:tab w:val="left" w:pos="2520"/>
        </w:tabs>
        <w:spacing w:after="0" w:line="240" w:lineRule="auto"/>
        <w:rPr>
          <w:rFonts w:ascii="Times New Roman" w:hAnsi="Times New Roman" w:cs="Times New Roman"/>
          <w:b/>
          <w:sz w:val="24"/>
          <w:szCs w:val="24"/>
        </w:rPr>
      </w:pPr>
    </w:p>
    <w:p w:rsidR="002A368C" w:rsidRPr="0072579F" w:rsidRDefault="002A368C" w:rsidP="002A368C">
      <w:pPr>
        <w:tabs>
          <w:tab w:val="left" w:pos="2520"/>
        </w:tabs>
        <w:spacing w:after="0" w:line="240" w:lineRule="auto"/>
        <w:rPr>
          <w:rFonts w:ascii="Times New Roman" w:hAnsi="Times New Roman" w:cs="Times New Roman"/>
          <w:b/>
          <w:sz w:val="24"/>
          <w:szCs w:val="24"/>
        </w:rPr>
      </w:pPr>
      <w:r w:rsidRPr="0072579F">
        <w:rPr>
          <w:rFonts w:ascii="Times New Roman" w:hAnsi="Times New Roman" w:cs="Times New Roman"/>
          <w:b/>
          <w:sz w:val="24"/>
          <w:szCs w:val="24"/>
        </w:rPr>
        <w:t>Telephone No.:</w:t>
      </w:r>
      <w:r w:rsidRPr="0072579F">
        <w:rPr>
          <w:rFonts w:ascii="Times New Roman" w:hAnsi="Times New Roman" w:cs="Times New Roman"/>
          <w:b/>
          <w:sz w:val="24"/>
          <w:szCs w:val="24"/>
        </w:rPr>
        <w:tab/>
        <w:t>(713) 625-8228</w:t>
      </w:r>
    </w:p>
    <w:p w:rsidR="002A368C" w:rsidRDefault="002A368C" w:rsidP="002A368C">
      <w:pPr>
        <w:tabs>
          <w:tab w:val="left" w:pos="2520"/>
        </w:tabs>
        <w:spacing w:after="0" w:line="240" w:lineRule="auto"/>
        <w:rPr>
          <w:rFonts w:ascii="Times New Roman" w:hAnsi="Times New Roman" w:cs="Times New Roman"/>
          <w:sz w:val="24"/>
          <w:szCs w:val="24"/>
        </w:rPr>
      </w:pPr>
    </w:p>
    <w:p w:rsidR="002A368C" w:rsidRDefault="00186F84" w:rsidP="002A368C">
      <w:pPr>
        <w:tabs>
          <w:tab w:val="left" w:pos="2520"/>
        </w:tabs>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margin-left:.7pt;margin-top:6.4pt;width:481.55pt;height:0;z-index:251658240" o:connectortype="straight"/>
        </w:pict>
      </w:r>
    </w:p>
    <w:p w:rsidR="002A368C" w:rsidRDefault="002A368C" w:rsidP="00213770">
      <w:pPr>
        <w:tabs>
          <w:tab w:val="left" w:pos="2520"/>
        </w:tabs>
        <w:spacing w:after="0" w:line="240" w:lineRule="auto"/>
        <w:jc w:val="both"/>
        <w:rPr>
          <w:rFonts w:ascii="Times New Roman" w:hAnsi="Times New Roman" w:cs="Times New Roman"/>
          <w:sz w:val="24"/>
          <w:szCs w:val="24"/>
        </w:rPr>
      </w:pPr>
    </w:p>
    <w:p w:rsidR="002A368C" w:rsidRDefault="002A368C" w:rsidP="00213770">
      <w:pPr>
        <w:tabs>
          <w:tab w:val="left" w:pos="25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Stewart Title Guaranty Company petitions the Commissioner of Insurance to adopt the following revisions to the Residential Leasehold Endorsement Form (T-4R):</w:t>
      </w:r>
    </w:p>
    <w:p w:rsidR="002A368C" w:rsidRDefault="002A368C" w:rsidP="00213770">
      <w:pPr>
        <w:tabs>
          <w:tab w:val="left" w:pos="2520"/>
        </w:tabs>
        <w:spacing w:after="0" w:line="240" w:lineRule="auto"/>
        <w:jc w:val="both"/>
        <w:rPr>
          <w:rFonts w:ascii="Times New Roman" w:hAnsi="Times New Roman" w:cs="Times New Roman"/>
          <w:sz w:val="24"/>
          <w:szCs w:val="24"/>
        </w:rPr>
      </w:pPr>
    </w:p>
    <w:p w:rsidR="002A368C" w:rsidRDefault="002A368C" w:rsidP="00213770">
      <w:pPr>
        <w:tabs>
          <w:tab w:val="left" w:pos="2520"/>
        </w:tabs>
        <w:spacing w:after="0" w:line="240" w:lineRule="auto"/>
        <w:jc w:val="both"/>
        <w:rPr>
          <w:rFonts w:ascii="Times New Roman" w:hAnsi="Times New Roman" w:cs="Times New Roman"/>
          <w:sz w:val="24"/>
          <w:szCs w:val="24"/>
        </w:rPr>
      </w:pPr>
    </w:p>
    <w:p w:rsidR="002A368C" w:rsidRDefault="002A368C" w:rsidP="00213770">
      <w:pPr>
        <w:tabs>
          <w:tab w:val="left" w:pos="25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RESIDENTIAL </w:t>
      </w:r>
      <w:r w:rsidR="0062500D" w:rsidRPr="00BC53F8">
        <w:rPr>
          <w:rFonts w:ascii="Times New Roman" w:hAnsi="Times New Roman" w:cs="Times New Roman"/>
          <w:sz w:val="24"/>
          <w:szCs w:val="24"/>
          <w:highlight w:val="yellow"/>
          <w:u w:val="single"/>
        </w:rPr>
        <w:t>OWNER’S</w:t>
      </w:r>
      <w:r w:rsidR="0062500D">
        <w:rPr>
          <w:rFonts w:ascii="Times New Roman" w:hAnsi="Times New Roman" w:cs="Times New Roman"/>
          <w:sz w:val="24"/>
          <w:szCs w:val="24"/>
          <w:u w:val="single"/>
        </w:rPr>
        <w:t xml:space="preserve"> </w:t>
      </w:r>
      <w:r>
        <w:rPr>
          <w:rFonts w:ascii="Times New Roman" w:hAnsi="Times New Roman" w:cs="Times New Roman"/>
          <w:sz w:val="24"/>
          <w:szCs w:val="24"/>
        </w:rPr>
        <w:t>LEASEHOLD ENDORSEMENT</w:t>
      </w:r>
    </w:p>
    <w:p w:rsidR="002A368C" w:rsidRDefault="002A368C" w:rsidP="00213770">
      <w:pPr>
        <w:tabs>
          <w:tab w:val="left" w:pos="25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BY</w:t>
      </w:r>
    </w:p>
    <w:p w:rsidR="002A368C" w:rsidRDefault="002A368C" w:rsidP="00213770">
      <w:pPr>
        <w:tabs>
          <w:tab w:val="left" w:pos="2520"/>
        </w:tabs>
        <w:spacing w:after="0" w:line="240" w:lineRule="auto"/>
        <w:jc w:val="both"/>
        <w:rPr>
          <w:rFonts w:ascii="Times New Roman" w:hAnsi="Times New Roman" w:cs="Times New Roman"/>
          <w:sz w:val="24"/>
          <w:szCs w:val="24"/>
        </w:rPr>
      </w:pPr>
    </w:p>
    <w:p w:rsidR="002A368C" w:rsidRDefault="002A368C" w:rsidP="00213770">
      <w:pPr>
        <w:tabs>
          <w:tab w:val="left" w:pos="25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BLANK TITLE INSURANCE COMPANY</w:t>
      </w:r>
    </w:p>
    <w:p w:rsidR="002A368C" w:rsidRDefault="002A368C" w:rsidP="00213770">
      <w:pPr>
        <w:tabs>
          <w:tab w:val="left" w:pos="2520"/>
        </w:tabs>
        <w:spacing w:after="0" w:line="240" w:lineRule="auto"/>
        <w:jc w:val="both"/>
        <w:rPr>
          <w:rFonts w:ascii="Times New Roman" w:hAnsi="Times New Roman" w:cs="Times New Roman"/>
          <w:sz w:val="24"/>
          <w:szCs w:val="24"/>
        </w:rPr>
      </w:pPr>
    </w:p>
    <w:p w:rsidR="002A368C" w:rsidRDefault="002A368C" w:rsidP="00213770">
      <w:pPr>
        <w:tabs>
          <w:tab w:val="left" w:pos="25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w:t>
      </w:r>
      <w:proofErr w:type="spellStart"/>
      <w:r w:rsidRPr="0062500D">
        <w:rPr>
          <w:rFonts w:ascii="Times New Roman" w:hAnsi="Times New Roman" w:cs="Times New Roman"/>
          <w:strike/>
          <w:sz w:val="24"/>
          <w:szCs w:val="24"/>
        </w:rPr>
        <w:t>E</w:t>
      </w:r>
      <w:r w:rsidR="0062500D" w:rsidRPr="0062500D">
        <w:rPr>
          <w:rFonts w:ascii="Times New Roman" w:hAnsi="Times New Roman" w:cs="Times New Roman"/>
          <w:sz w:val="24"/>
          <w:szCs w:val="24"/>
          <w:u w:val="single"/>
        </w:rPr>
        <w:t>e</w:t>
      </w:r>
      <w:r>
        <w:rPr>
          <w:rFonts w:ascii="Times New Roman" w:hAnsi="Times New Roman" w:cs="Times New Roman"/>
          <w:sz w:val="24"/>
          <w:szCs w:val="24"/>
        </w:rPr>
        <w:t>ndorsement</w:t>
      </w:r>
      <w:proofErr w:type="spellEnd"/>
      <w:r>
        <w:rPr>
          <w:rFonts w:ascii="Times New Roman" w:hAnsi="Times New Roman" w:cs="Times New Roman"/>
          <w:sz w:val="24"/>
          <w:szCs w:val="24"/>
        </w:rPr>
        <w:t xml:space="preserve"> is a part of </w:t>
      </w:r>
      <w:r w:rsidR="0062500D">
        <w:rPr>
          <w:rFonts w:ascii="Times New Roman" w:hAnsi="Times New Roman" w:cs="Times New Roman"/>
          <w:sz w:val="24"/>
          <w:szCs w:val="24"/>
          <w:u w:val="single"/>
        </w:rPr>
        <w:t xml:space="preserve">Owner’s </w:t>
      </w:r>
      <w:r>
        <w:rPr>
          <w:rFonts w:ascii="Times New Roman" w:hAnsi="Times New Roman" w:cs="Times New Roman"/>
          <w:sz w:val="24"/>
          <w:szCs w:val="24"/>
        </w:rPr>
        <w:t xml:space="preserve">Policy Number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2500D">
        <w:rPr>
          <w:rFonts w:ascii="Times New Roman" w:hAnsi="Times New Roman" w:cs="Times New Roman"/>
          <w:sz w:val="24"/>
          <w:szCs w:val="24"/>
        </w:rPr>
        <w:t xml:space="preserve"> </w:t>
      </w:r>
      <w:r w:rsidR="0062500D" w:rsidRPr="00BC53F8">
        <w:rPr>
          <w:rFonts w:ascii="Times New Roman" w:hAnsi="Times New Roman" w:cs="Times New Roman"/>
          <w:sz w:val="24"/>
          <w:szCs w:val="24"/>
          <w:highlight w:val="yellow"/>
        </w:rPr>
        <w:t>(T-1R)</w:t>
      </w:r>
      <w:r w:rsidRPr="00BC53F8">
        <w:rPr>
          <w:rFonts w:ascii="Times New Roman" w:hAnsi="Times New Roman" w:cs="Times New Roman"/>
          <w:sz w:val="24"/>
          <w:szCs w:val="24"/>
          <w:highlight w:val="yellow"/>
        </w:rPr>
        <w:t>.</w:t>
      </w:r>
    </w:p>
    <w:p w:rsidR="002A368C" w:rsidRDefault="002A368C" w:rsidP="00213770">
      <w:pPr>
        <w:tabs>
          <w:tab w:val="left" w:pos="2520"/>
        </w:tabs>
        <w:spacing w:after="0" w:line="240" w:lineRule="auto"/>
        <w:jc w:val="both"/>
        <w:rPr>
          <w:rFonts w:ascii="Times New Roman" w:hAnsi="Times New Roman" w:cs="Times New Roman"/>
          <w:sz w:val="24"/>
          <w:szCs w:val="24"/>
        </w:rPr>
      </w:pPr>
    </w:p>
    <w:p w:rsidR="002A368C" w:rsidRDefault="002A368C" w:rsidP="00213770">
      <w:pPr>
        <w:pStyle w:val="ListParagraph"/>
        <w:numPr>
          <w:ilvl w:val="0"/>
          <w:numId w:val="1"/>
        </w:numPr>
        <w:tabs>
          <w:tab w:val="left" w:pos="540"/>
          <w:tab w:val="left" w:pos="252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The following are definitions for this endorsement.</w:t>
      </w:r>
    </w:p>
    <w:p w:rsidR="002A368C" w:rsidRDefault="002A368C" w:rsidP="00213770">
      <w:pPr>
        <w:tabs>
          <w:tab w:val="left" w:pos="540"/>
          <w:tab w:val="left" w:pos="2520"/>
        </w:tabs>
        <w:spacing w:after="0" w:line="240" w:lineRule="auto"/>
        <w:jc w:val="both"/>
        <w:rPr>
          <w:rFonts w:ascii="Times New Roman" w:hAnsi="Times New Roman" w:cs="Times New Roman"/>
          <w:sz w:val="24"/>
          <w:szCs w:val="24"/>
        </w:rPr>
      </w:pPr>
    </w:p>
    <w:p w:rsidR="0062500D" w:rsidRDefault="002A368C" w:rsidP="00213770">
      <w:pPr>
        <w:pStyle w:val="ListParagraph"/>
        <w:numPr>
          <w:ilvl w:val="0"/>
          <w:numId w:val="2"/>
        </w:numPr>
        <w:tabs>
          <w:tab w:val="left" w:pos="5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“Evicted” or “Eviction”: </w:t>
      </w:r>
    </w:p>
    <w:p w:rsidR="0062500D" w:rsidRDefault="002A368C" w:rsidP="0072579F">
      <w:pPr>
        <w:pStyle w:val="ListParagraph"/>
        <w:tabs>
          <w:tab w:val="left" w:pos="900"/>
        </w:tabs>
        <w:spacing w:after="0" w:line="240" w:lineRule="auto"/>
        <w:ind w:left="900" w:hanging="540"/>
        <w:jc w:val="both"/>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sidRPr="0062500D">
        <w:rPr>
          <w:rFonts w:ascii="Times New Roman" w:hAnsi="Times New Roman" w:cs="Times New Roman"/>
          <w:strike/>
          <w:sz w:val="24"/>
          <w:szCs w:val="24"/>
        </w:rPr>
        <w:t>a</w:t>
      </w:r>
      <w:r w:rsidR="0062500D">
        <w:rPr>
          <w:rFonts w:ascii="Times New Roman" w:hAnsi="Times New Roman" w:cs="Times New Roman"/>
          <w:sz w:val="24"/>
          <w:szCs w:val="24"/>
          <w:u w:val="single"/>
        </w:rPr>
        <w:t>i</w:t>
      </w:r>
      <w:proofErr w:type="spellEnd"/>
      <w:proofErr w:type="gramEnd"/>
      <w:r>
        <w:rPr>
          <w:rFonts w:ascii="Times New Roman" w:hAnsi="Times New Roman" w:cs="Times New Roman"/>
          <w:sz w:val="24"/>
          <w:szCs w:val="24"/>
        </w:rPr>
        <w:t>)</w:t>
      </w:r>
      <w:r w:rsidR="0062500D">
        <w:rPr>
          <w:rFonts w:ascii="Times New Roman" w:hAnsi="Times New Roman" w:cs="Times New Roman"/>
          <w:sz w:val="24"/>
          <w:szCs w:val="24"/>
        </w:rPr>
        <w:tab/>
      </w:r>
      <w:r>
        <w:rPr>
          <w:rFonts w:ascii="Times New Roman" w:hAnsi="Times New Roman" w:cs="Times New Roman"/>
          <w:sz w:val="24"/>
          <w:szCs w:val="24"/>
        </w:rPr>
        <w:t>the lawful deprivation of your right of possession insured by this policy</w:t>
      </w:r>
      <w:r w:rsidR="008D4D84">
        <w:rPr>
          <w:rFonts w:ascii="Times New Roman" w:hAnsi="Times New Roman" w:cs="Times New Roman"/>
          <w:sz w:val="24"/>
          <w:szCs w:val="24"/>
        </w:rPr>
        <w:t xml:space="preserve">, contrary to the </w:t>
      </w:r>
      <w:r w:rsidR="0062500D">
        <w:rPr>
          <w:rFonts w:ascii="Times New Roman" w:hAnsi="Times New Roman" w:cs="Times New Roman"/>
          <w:sz w:val="24"/>
          <w:szCs w:val="24"/>
        </w:rPr>
        <w:t xml:space="preserve">  </w:t>
      </w:r>
      <w:r w:rsidR="008D4D84">
        <w:rPr>
          <w:rFonts w:ascii="Times New Roman" w:hAnsi="Times New Roman" w:cs="Times New Roman"/>
          <w:sz w:val="24"/>
          <w:szCs w:val="24"/>
        </w:rPr>
        <w:t xml:space="preserve">terms of the Lease or </w:t>
      </w:r>
    </w:p>
    <w:p w:rsidR="002A368C" w:rsidRDefault="008D4D84" w:rsidP="0062500D">
      <w:pPr>
        <w:pStyle w:val="ListParagraph"/>
        <w:spacing w:after="0" w:line="240" w:lineRule="auto"/>
        <w:ind w:left="900" w:hanging="540"/>
        <w:jc w:val="both"/>
        <w:rPr>
          <w:rFonts w:ascii="Times New Roman" w:hAnsi="Times New Roman" w:cs="Times New Roman"/>
          <w:sz w:val="24"/>
          <w:szCs w:val="24"/>
        </w:rPr>
      </w:pPr>
      <w:r>
        <w:rPr>
          <w:rFonts w:ascii="Times New Roman" w:hAnsi="Times New Roman" w:cs="Times New Roman"/>
          <w:sz w:val="24"/>
          <w:szCs w:val="24"/>
        </w:rPr>
        <w:t>(</w:t>
      </w:r>
      <w:proofErr w:type="spellStart"/>
      <w:r w:rsidRPr="0062500D">
        <w:rPr>
          <w:rFonts w:ascii="Times New Roman" w:hAnsi="Times New Roman" w:cs="Times New Roman"/>
          <w:strike/>
          <w:sz w:val="24"/>
          <w:szCs w:val="24"/>
        </w:rPr>
        <w:t>b</w:t>
      </w:r>
      <w:r w:rsidR="0062500D">
        <w:rPr>
          <w:rFonts w:ascii="Times New Roman" w:hAnsi="Times New Roman" w:cs="Times New Roman"/>
          <w:sz w:val="24"/>
          <w:szCs w:val="24"/>
          <w:u w:val="single"/>
        </w:rPr>
        <w:t>ii</w:t>
      </w:r>
      <w:proofErr w:type="spellEnd"/>
      <w:r>
        <w:rPr>
          <w:rFonts w:ascii="Times New Roman" w:hAnsi="Times New Roman" w:cs="Times New Roman"/>
          <w:sz w:val="24"/>
          <w:szCs w:val="24"/>
        </w:rPr>
        <w:t xml:space="preserve">) </w:t>
      </w:r>
      <w:r w:rsidR="0062500D">
        <w:rPr>
          <w:rFonts w:ascii="Times New Roman" w:hAnsi="Times New Roman" w:cs="Times New Roman"/>
          <w:sz w:val="24"/>
          <w:szCs w:val="24"/>
        </w:rPr>
        <w:tab/>
      </w:r>
      <w:r>
        <w:rPr>
          <w:rFonts w:ascii="Times New Roman" w:hAnsi="Times New Roman" w:cs="Times New Roman"/>
          <w:sz w:val="24"/>
          <w:szCs w:val="24"/>
        </w:rPr>
        <w:t>the lawful prevention of your use of the land or the Tenant Leasehold Improvements for the purposes permitted by the Lease, in either case, as a result of a Covered Title Risk.</w:t>
      </w:r>
    </w:p>
    <w:p w:rsidR="00213770" w:rsidRDefault="00213770" w:rsidP="00213770">
      <w:pPr>
        <w:pStyle w:val="ListParagraph"/>
        <w:tabs>
          <w:tab w:val="left" w:pos="540"/>
        </w:tabs>
        <w:spacing w:after="0" w:line="240" w:lineRule="auto"/>
        <w:ind w:left="0"/>
        <w:jc w:val="both"/>
        <w:rPr>
          <w:rFonts w:ascii="Times New Roman" w:hAnsi="Times New Roman" w:cs="Times New Roman"/>
          <w:sz w:val="24"/>
          <w:szCs w:val="24"/>
        </w:rPr>
      </w:pPr>
    </w:p>
    <w:p w:rsidR="008D4D84" w:rsidRDefault="008D4D84" w:rsidP="00213770">
      <w:pPr>
        <w:pStyle w:val="ListParagraph"/>
        <w:numPr>
          <w:ilvl w:val="0"/>
          <w:numId w:val="2"/>
        </w:numPr>
        <w:tabs>
          <w:tab w:val="left" w:pos="5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“Lease”:  the lease described in Schedule A.</w:t>
      </w:r>
    </w:p>
    <w:p w:rsidR="00213770" w:rsidRPr="00213770" w:rsidRDefault="00213770" w:rsidP="00213770">
      <w:pPr>
        <w:pStyle w:val="ListParagraph"/>
        <w:jc w:val="both"/>
        <w:rPr>
          <w:rFonts w:ascii="Times New Roman" w:hAnsi="Times New Roman" w:cs="Times New Roman"/>
          <w:sz w:val="24"/>
          <w:szCs w:val="24"/>
        </w:rPr>
      </w:pPr>
    </w:p>
    <w:p w:rsidR="008D4D84" w:rsidRDefault="008D4D84" w:rsidP="00213770">
      <w:pPr>
        <w:pStyle w:val="ListParagraph"/>
        <w:numPr>
          <w:ilvl w:val="0"/>
          <w:numId w:val="2"/>
        </w:numPr>
        <w:tabs>
          <w:tab w:val="left" w:pos="5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“Leasehold Estate”:  the right of possession for the Lease Term.</w:t>
      </w:r>
    </w:p>
    <w:p w:rsidR="00213770" w:rsidRPr="00213770" w:rsidRDefault="00213770" w:rsidP="00213770">
      <w:pPr>
        <w:pStyle w:val="ListParagraph"/>
        <w:jc w:val="both"/>
        <w:rPr>
          <w:rFonts w:ascii="Times New Roman" w:hAnsi="Times New Roman" w:cs="Times New Roman"/>
          <w:sz w:val="24"/>
          <w:szCs w:val="24"/>
        </w:rPr>
      </w:pPr>
    </w:p>
    <w:p w:rsidR="008D4D84" w:rsidRDefault="008D4D84" w:rsidP="0062500D">
      <w:pPr>
        <w:pStyle w:val="ListParagraph"/>
        <w:numPr>
          <w:ilvl w:val="0"/>
          <w:numId w:val="2"/>
        </w:numPr>
        <w:tabs>
          <w:tab w:val="left" w:pos="54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“Lease Term”:  the duration of the Leasehold Estate, including any renewal or extended term if a valid option to renew or extend is contained in the Lease.</w:t>
      </w:r>
    </w:p>
    <w:p w:rsidR="00213770" w:rsidRPr="00213770" w:rsidRDefault="00213770" w:rsidP="00213770">
      <w:pPr>
        <w:pStyle w:val="ListParagraph"/>
        <w:jc w:val="both"/>
        <w:rPr>
          <w:rFonts w:ascii="Times New Roman" w:hAnsi="Times New Roman" w:cs="Times New Roman"/>
          <w:sz w:val="24"/>
          <w:szCs w:val="24"/>
        </w:rPr>
      </w:pPr>
    </w:p>
    <w:p w:rsidR="0062500D" w:rsidRDefault="008D4D84" w:rsidP="0062500D">
      <w:pPr>
        <w:pStyle w:val="ListParagraph"/>
        <w:numPr>
          <w:ilvl w:val="0"/>
          <w:numId w:val="2"/>
        </w:numPr>
        <w:tabs>
          <w:tab w:val="left" w:pos="54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“Personal Property”:  </w:t>
      </w:r>
    </w:p>
    <w:p w:rsidR="0062500D" w:rsidRPr="0072579F" w:rsidRDefault="008D4D84" w:rsidP="0072579F">
      <w:pPr>
        <w:tabs>
          <w:tab w:val="left" w:pos="900"/>
        </w:tabs>
        <w:spacing w:after="0" w:line="240" w:lineRule="auto"/>
        <w:ind w:left="900" w:hanging="360"/>
        <w:jc w:val="both"/>
        <w:rPr>
          <w:rFonts w:ascii="Times New Roman" w:hAnsi="Times New Roman" w:cs="Times New Roman"/>
          <w:sz w:val="24"/>
          <w:szCs w:val="24"/>
        </w:rPr>
      </w:pPr>
      <w:r w:rsidRPr="0072579F">
        <w:rPr>
          <w:rFonts w:ascii="Times New Roman" w:hAnsi="Times New Roman" w:cs="Times New Roman"/>
          <w:sz w:val="24"/>
          <w:szCs w:val="24"/>
        </w:rPr>
        <w:t>(</w:t>
      </w:r>
      <w:r w:rsidRPr="0072579F">
        <w:rPr>
          <w:rFonts w:ascii="Times New Roman" w:hAnsi="Times New Roman" w:cs="Times New Roman"/>
          <w:strike/>
          <w:sz w:val="24"/>
          <w:szCs w:val="24"/>
        </w:rPr>
        <w:t>1</w:t>
      </w:r>
      <w:r w:rsidR="0062500D" w:rsidRPr="0072579F">
        <w:rPr>
          <w:rFonts w:ascii="Times New Roman" w:hAnsi="Times New Roman" w:cs="Times New Roman"/>
          <w:sz w:val="24"/>
          <w:szCs w:val="24"/>
          <w:u w:val="single"/>
        </w:rPr>
        <w:t>i</w:t>
      </w:r>
      <w:r w:rsidRPr="0072579F">
        <w:rPr>
          <w:rFonts w:ascii="Times New Roman" w:hAnsi="Times New Roman" w:cs="Times New Roman"/>
          <w:sz w:val="24"/>
          <w:szCs w:val="24"/>
        </w:rPr>
        <w:t>) furniture, appliances, and other personal, family or household</w:t>
      </w:r>
      <w:r w:rsidR="0062500D" w:rsidRPr="0072579F">
        <w:rPr>
          <w:rFonts w:ascii="Times New Roman" w:hAnsi="Times New Roman" w:cs="Times New Roman"/>
          <w:sz w:val="24"/>
          <w:szCs w:val="24"/>
        </w:rPr>
        <w:t xml:space="preserve"> goods located on the land, and</w:t>
      </w:r>
    </w:p>
    <w:p w:rsidR="008D4D84" w:rsidRDefault="008D4D84" w:rsidP="0072579F">
      <w:pPr>
        <w:pStyle w:val="ListParagraph"/>
        <w:tabs>
          <w:tab w:val="left" w:pos="900"/>
        </w:tabs>
        <w:spacing w:after="0" w:line="240" w:lineRule="auto"/>
        <w:ind w:left="900" w:hanging="360"/>
        <w:jc w:val="both"/>
        <w:rPr>
          <w:rFonts w:ascii="Times New Roman" w:hAnsi="Times New Roman" w:cs="Times New Roman"/>
          <w:sz w:val="24"/>
          <w:szCs w:val="24"/>
        </w:rPr>
      </w:pPr>
      <w:proofErr w:type="gramStart"/>
      <w:r>
        <w:rPr>
          <w:rFonts w:ascii="Times New Roman" w:hAnsi="Times New Roman" w:cs="Times New Roman"/>
          <w:sz w:val="24"/>
          <w:szCs w:val="24"/>
        </w:rPr>
        <w:t>(</w:t>
      </w:r>
      <w:r w:rsidRPr="0062500D">
        <w:rPr>
          <w:rFonts w:ascii="Times New Roman" w:hAnsi="Times New Roman" w:cs="Times New Roman"/>
          <w:strike/>
          <w:sz w:val="24"/>
          <w:szCs w:val="24"/>
        </w:rPr>
        <w:t>2</w:t>
      </w:r>
      <w:r w:rsidR="0062500D">
        <w:rPr>
          <w:rFonts w:ascii="Times New Roman" w:hAnsi="Times New Roman" w:cs="Times New Roman"/>
          <w:sz w:val="24"/>
          <w:szCs w:val="24"/>
          <w:u w:val="single"/>
        </w:rPr>
        <w:t>ii</w:t>
      </w:r>
      <w:r>
        <w:rPr>
          <w:rFonts w:ascii="Times New Roman" w:hAnsi="Times New Roman" w:cs="Times New Roman"/>
          <w:sz w:val="24"/>
          <w:szCs w:val="24"/>
        </w:rPr>
        <w:t>) property which can be removed from the land without causing significant damage to that property or the land.</w:t>
      </w:r>
      <w:proofErr w:type="gramEnd"/>
    </w:p>
    <w:p w:rsidR="00213770" w:rsidRPr="00213770" w:rsidRDefault="00213770" w:rsidP="00213770">
      <w:pPr>
        <w:pStyle w:val="ListParagraph"/>
        <w:jc w:val="both"/>
        <w:rPr>
          <w:rFonts w:ascii="Times New Roman" w:hAnsi="Times New Roman" w:cs="Times New Roman"/>
          <w:sz w:val="24"/>
          <w:szCs w:val="24"/>
        </w:rPr>
      </w:pPr>
    </w:p>
    <w:p w:rsidR="007B4C71" w:rsidRDefault="008D4D84" w:rsidP="0062500D">
      <w:pPr>
        <w:pStyle w:val="ListParagraph"/>
        <w:numPr>
          <w:ilvl w:val="0"/>
          <w:numId w:val="2"/>
        </w:numPr>
        <w:tabs>
          <w:tab w:val="left" w:pos="54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“Remaining Lease Term”:  the portion of the Lease Term remaining after you have been </w:t>
      </w:r>
      <w:proofErr w:type="gramStart"/>
      <w:r>
        <w:rPr>
          <w:rFonts w:ascii="Times New Roman" w:hAnsi="Times New Roman" w:cs="Times New Roman"/>
          <w:sz w:val="24"/>
          <w:szCs w:val="24"/>
        </w:rPr>
        <w:t>Evicted</w:t>
      </w:r>
      <w:proofErr w:type="gramEnd"/>
      <w:r>
        <w:rPr>
          <w:rFonts w:ascii="Times New Roman" w:hAnsi="Times New Roman" w:cs="Times New Roman"/>
          <w:sz w:val="24"/>
          <w:szCs w:val="24"/>
        </w:rPr>
        <w:t xml:space="preserve"> as a result of a Covered Title Risk.</w:t>
      </w:r>
    </w:p>
    <w:p w:rsidR="008D4D84" w:rsidRDefault="008D4D84" w:rsidP="0062500D">
      <w:pPr>
        <w:pStyle w:val="ListParagraph"/>
        <w:numPr>
          <w:ilvl w:val="0"/>
          <w:numId w:val="2"/>
        </w:numPr>
        <w:tabs>
          <w:tab w:val="left" w:pos="54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“Tenant Leasehold Improvements”:  Those improvements, including landscaping, on the land you have built or in which you have an interest greater than the right to possession during the Lease Term.</w:t>
      </w:r>
    </w:p>
    <w:p w:rsidR="008D4D84" w:rsidRDefault="008D4D84" w:rsidP="00213770">
      <w:pPr>
        <w:pStyle w:val="ListParagraph"/>
        <w:tabs>
          <w:tab w:val="left" w:pos="540"/>
        </w:tabs>
        <w:spacing w:after="0" w:line="240" w:lineRule="auto"/>
        <w:ind w:left="0"/>
        <w:jc w:val="both"/>
        <w:rPr>
          <w:rFonts w:ascii="Times New Roman" w:hAnsi="Times New Roman" w:cs="Times New Roman"/>
          <w:sz w:val="24"/>
          <w:szCs w:val="24"/>
        </w:rPr>
      </w:pPr>
    </w:p>
    <w:p w:rsidR="008D4D84" w:rsidRDefault="008D4D84" w:rsidP="00213770">
      <w:pPr>
        <w:pStyle w:val="ListParagraph"/>
        <w:numPr>
          <w:ilvl w:val="0"/>
          <w:numId w:val="1"/>
        </w:numPr>
        <w:tabs>
          <w:tab w:val="left" w:pos="54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Valuation of Estate or Interest Insured</w:t>
      </w:r>
    </w:p>
    <w:p w:rsidR="00213770" w:rsidRDefault="00213770" w:rsidP="00213770">
      <w:pPr>
        <w:pStyle w:val="ListParagraph"/>
        <w:tabs>
          <w:tab w:val="left" w:pos="540"/>
        </w:tabs>
        <w:spacing w:after="0" w:line="240" w:lineRule="auto"/>
        <w:ind w:left="540"/>
        <w:jc w:val="both"/>
        <w:rPr>
          <w:rFonts w:ascii="Times New Roman" w:hAnsi="Times New Roman" w:cs="Times New Roman"/>
          <w:sz w:val="24"/>
          <w:szCs w:val="24"/>
        </w:rPr>
      </w:pPr>
    </w:p>
    <w:p w:rsidR="008D4D84" w:rsidRDefault="008D4D84" w:rsidP="0062500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To determine the value of your estate or interest in the land as a result of a Covered Title Risk that results in an Eviction, the value will consist of the value of your Remaining Lease Term and any Tenant Leasehold Improvements then existing.  You shall have the right to have the Leasehold Estate and the Tenant Leasehold Improvements valued either as a whole or separately.  In either event, this determination of value shall take into account rent no longer required to be paid for the Remaining Lease Term.</w:t>
      </w:r>
    </w:p>
    <w:p w:rsidR="008D4D84" w:rsidRDefault="008D4D84" w:rsidP="00213770">
      <w:pPr>
        <w:tabs>
          <w:tab w:val="left" w:pos="540"/>
        </w:tabs>
        <w:spacing w:after="0" w:line="240" w:lineRule="auto"/>
        <w:jc w:val="both"/>
        <w:rPr>
          <w:rFonts w:ascii="Times New Roman" w:hAnsi="Times New Roman" w:cs="Times New Roman"/>
          <w:sz w:val="24"/>
          <w:szCs w:val="24"/>
        </w:rPr>
      </w:pPr>
    </w:p>
    <w:p w:rsidR="008D4D84" w:rsidRDefault="008D4D84" w:rsidP="00213770">
      <w:pPr>
        <w:pStyle w:val="ListParagraph"/>
        <w:numPr>
          <w:ilvl w:val="0"/>
          <w:numId w:val="1"/>
        </w:numPr>
        <w:tabs>
          <w:tab w:val="left" w:pos="54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Miscellaneous Loss:</w:t>
      </w:r>
    </w:p>
    <w:p w:rsidR="000F65DD" w:rsidRDefault="000F65DD" w:rsidP="00213770">
      <w:pPr>
        <w:pStyle w:val="ListParagraph"/>
        <w:tabs>
          <w:tab w:val="left" w:pos="540"/>
        </w:tabs>
        <w:spacing w:after="0" w:line="240" w:lineRule="auto"/>
        <w:ind w:left="540"/>
        <w:jc w:val="both"/>
        <w:rPr>
          <w:rFonts w:ascii="Times New Roman" w:hAnsi="Times New Roman" w:cs="Times New Roman"/>
          <w:sz w:val="24"/>
          <w:szCs w:val="24"/>
        </w:rPr>
      </w:pPr>
    </w:p>
    <w:p w:rsidR="000F65DD" w:rsidRDefault="000F65DD" w:rsidP="00213770">
      <w:pPr>
        <w:pStyle w:val="ListParagraph"/>
        <w:tabs>
          <w:tab w:val="left" w:pos="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If you are </w:t>
      </w:r>
      <w:proofErr w:type="gramStart"/>
      <w:r>
        <w:rPr>
          <w:rFonts w:ascii="Times New Roman" w:hAnsi="Times New Roman" w:cs="Times New Roman"/>
          <w:sz w:val="24"/>
          <w:szCs w:val="24"/>
        </w:rPr>
        <w:t>Evicted</w:t>
      </w:r>
      <w:proofErr w:type="gramEnd"/>
      <w:r>
        <w:rPr>
          <w:rFonts w:ascii="Times New Roman" w:hAnsi="Times New Roman" w:cs="Times New Roman"/>
          <w:sz w:val="24"/>
          <w:szCs w:val="24"/>
        </w:rPr>
        <w:t xml:space="preserve"> because of a Covered Title Risk, we will include the following in computing your actual loss.  We will not include the following if they are included in the valuation of your estate or interest in the land.</w:t>
      </w:r>
    </w:p>
    <w:p w:rsidR="000F65DD" w:rsidRDefault="000F65DD" w:rsidP="00213770">
      <w:pPr>
        <w:tabs>
          <w:tab w:val="left" w:pos="540"/>
        </w:tabs>
        <w:spacing w:after="0" w:line="240" w:lineRule="auto"/>
        <w:jc w:val="both"/>
        <w:rPr>
          <w:rFonts w:ascii="Times New Roman" w:hAnsi="Times New Roman" w:cs="Times New Roman"/>
          <w:sz w:val="24"/>
          <w:szCs w:val="24"/>
        </w:rPr>
      </w:pPr>
    </w:p>
    <w:p w:rsidR="000F65DD" w:rsidRDefault="000F65DD" w:rsidP="00213770">
      <w:pPr>
        <w:pStyle w:val="ListParagraph"/>
        <w:numPr>
          <w:ilvl w:val="0"/>
          <w:numId w:val="3"/>
        </w:numPr>
        <w:tabs>
          <w:tab w:val="left" w:pos="5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We will pay reasonable costs of removing and relocating Personal Property that you may remove and relocate.  We will pay the reasonable costs to repair Personal Property damaged during removal and relocation.  We will not pay transportation costs for more than one hundred miles.</w:t>
      </w:r>
    </w:p>
    <w:p w:rsidR="00213770" w:rsidRDefault="00213770" w:rsidP="00213770">
      <w:pPr>
        <w:pStyle w:val="ListParagraph"/>
        <w:tabs>
          <w:tab w:val="left" w:pos="540"/>
        </w:tabs>
        <w:spacing w:after="0" w:line="240" w:lineRule="auto"/>
        <w:ind w:left="0"/>
        <w:jc w:val="both"/>
        <w:rPr>
          <w:rFonts w:ascii="Times New Roman" w:hAnsi="Times New Roman" w:cs="Times New Roman"/>
          <w:sz w:val="24"/>
          <w:szCs w:val="24"/>
        </w:rPr>
      </w:pPr>
    </w:p>
    <w:p w:rsidR="000F65DD" w:rsidRDefault="000F65DD" w:rsidP="00213770">
      <w:pPr>
        <w:pStyle w:val="ListParagraph"/>
        <w:numPr>
          <w:ilvl w:val="0"/>
          <w:numId w:val="3"/>
        </w:numPr>
        <w:tabs>
          <w:tab w:val="left" w:pos="5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We will pay rent or damages for use of the land before Eviction that the law requires you to pay </w:t>
      </w:r>
      <w:r w:rsidR="007B4C71">
        <w:rPr>
          <w:rFonts w:ascii="Times New Roman" w:hAnsi="Times New Roman" w:cs="Times New Roman"/>
          <w:sz w:val="24"/>
          <w:szCs w:val="24"/>
        </w:rPr>
        <w:t>to any person with superior title</w:t>
      </w:r>
      <w:r>
        <w:rPr>
          <w:rFonts w:ascii="Times New Roman" w:hAnsi="Times New Roman" w:cs="Times New Roman"/>
          <w:sz w:val="24"/>
          <w:szCs w:val="24"/>
        </w:rPr>
        <w:t>.</w:t>
      </w:r>
    </w:p>
    <w:p w:rsidR="00213770" w:rsidRPr="00213770" w:rsidRDefault="00213770" w:rsidP="00213770">
      <w:pPr>
        <w:pStyle w:val="ListParagraph"/>
        <w:jc w:val="both"/>
        <w:rPr>
          <w:rFonts w:ascii="Times New Roman" w:hAnsi="Times New Roman" w:cs="Times New Roman"/>
          <w:sz w:val="24"/>
          <w:szCs w:val="24"/>
        </w:rPr>
      </w:pPr>
    </w:p>
    <w:p w:rsidR="000F65DD" w:rsidRDefault="000F65DD" w:rsidP="00213770">
      <w:pPr>
        <w:pStyle w:val="ListParagraph"/>
        <w:numPr>
          <w:ilvl w:val="0"/>
          <w:numId w:val="3"/>
        </w:numPr>
        <w:tabs>
          <w:tab w:val="left" w:pos="5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We will pay the amount of rent under the Lease that you must continue to pay after Eviction with respect to the portion of the Leasehold Estate and Tenant Leasehold Improvements from which you have been </w:t>
      </w:r>
      <w:proofErr w:type="gramStart"/>
      <w:r>
        <w:rPr>
          <w:rFonts w:ascii="Times New Roman" w:hAnsi="Times New Roman" w:cs="Times New Roman"/>
          <w:sz w:val="24"/>
          <w:szCs w:val="24"/>
        </w:rPr>
        <w:t>Evicted</w:t>
      </w:r>
      <w:proofErr w:type="gramEnd"/>
      <w:r>
        <w:rPr>
          <w:rFonts w:ascii="Times New Roman" w:hAnsi="Times New Roman" w:cs="Times New Roman"/>
          <w:sz w:val="24"/>
          <w:szCs w:val="24"/>
        </w:rPr>
        <w:t>.</w:t>
      </w:r>
    </w:p>
    <w:p w:rsidR="00213770" w:rsidRPr="00213770" w:rsidRDefault="00213770" w:rsidP="00213770">
      <w:pPr>
        <w:pStyle w:val="ListParagraph"/>
        <w:jc w:val="both"/>
        <w:rPr>
          <w:rFonts w:ascii="Times New Roman" w:hAnsi="Times New Roman" w:cs="Times New Roman"/>
          <w:sz w:val="24"/>
          <w:szCs w:val="24"/>
        </w:rPr>
      </w:pPr>
    </w:p>
    <w:p w:rsidR="000F65DD" w:rsidRDefault="000F65DD" w:rsidP="00213770">
      <w:pPr>
        <w:pStyle w:val="ListParagraph"/>
        <w:numPr>
          <w:ilvl w:val="0"/>
          <w:numId w:val="3"/>
        </w:numPr>
        <w:tabs>
          <w:tab w:val="left" w:pos="5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We will pay the value of any lease or sublease of the land by you.</w:t>
      </w:r>
    </w:p>
    <w:p w:rsidR="00213770" w:rsidRPr="00213770" w:rsidRDefault="00213770" w:rsidP="00213770">
      <w:pPr>
        <w:pStyle w:val="ListParagraph"/>
        <w:jc w:val="both"/>
        <w:rPr>
          <w:rFonts w:ascii="Times New Roman" w:hAnsi="Times New Roman" w:cs="Times New Roman"/>
          <w:sz w:val="24"/>
          <w:szCs w:val="24"/>
        </w:rPr>
      </w:pPr>
    </w:p>
    <w:p w:rsidR="000F65DD" w:rsidRDefault="000F65DD" w:rsidP="00213770">
      <w:pPr>
        <w:pStyle w:val="ListParagraph"/>
        <w:numPr>
          <w:ilvl w:val="0"/>
          <w:numId w:val="3"/>
        </w:numPr>
        <w:tabs>
          <w:tab w:val="left" w:pos="5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We will pay damages that you are obligated to pay to lessees or </w:t>
      </w:r>
      <w:proofErr w:type="spellStart"/>
      <w:r>
        <w:rPr>
          <w:rFonts w:ascii="Times New Roman" w:hAnsi="Times New Roman" w:cs="Times New Roman"/>
          <w:sz w:val="24"/>
          <w:szCs w:val="24"/>
        </w:rPr>
        <w:t>sublessees</w:t>
      </w:r>
      <w:proofErr w:type="spellEnd"/>
      <w:r>
        <w:rPr>
          <w:rFonts w:ascii="Times New Roman" w:hAnsi="Times New Roman" w:cs="Times New Roman"/>
          <w:sz w:val="24"/>
          <w:szCs w:val="24"/>
        </w:rPr>
        <w:t xml:space="preserve"> on account of the breach of the lease or sublease of the Leasehold Estate or Tenant Leasehold Improvements caused by Eviction.  We will pay only these costs that Eviction caused.</w:t>
      </w:r>
    </w:p>
    <w:p w:rsidR="00213770" w:rsidRPr="00213770" w:rsidRDefault="00213770" w:rsidP="00213770">
      <w:pPr>
        <w:pStyle w:val="ListParagraph"/>
        <w:jc w:val="both"/>
        <w:rPr>
          <w:rFonts w:ascii="Times New Roman" w:hAnsi="Times New Roman" w:cs="Times New Roman"/>
          <w:sz w:val="24"/>
          <w:szCs w:val="24"/>
        </w:rPr>
      </w:pPr>
    </w:p>
    <w:p w:rsidR="000F65DD" w:rsidRDefault="000F65DD" w:rsidP="00213770">
      <w:pPr>
        <w:pStyle w:val="ListParagraph"/>
        <w:numPr>
          <w:ilvl w:val="0"/>
          <w:numId w:val="3"/>
        </w:numPr>
        <w:tabs>
          <w:tab w:val="left" w:pos="5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We will pay rea</w:t>
      </w:r>
      <w:r w:rsidR="000F09AA">
        <w:rPr>
          <w:rFonts w:ascii="Times New Roman" w:hAnsi="Times New Roman" w:cs="Times New Roman"/>
          <w:sz w:val="24"/>
          <w:szCs w:val="24"/>
        </w:rPr>
        <w:t xml:space="preserve">sonable costs you incur to </w:t>
      </w:r>
      <w:r w:rsidR="000F09AA" w:rsidRPr="00213770">
        <w:rPr>
          <w:rFonts w:ascii="Times New Roman" w:hAnsi="Times New Roman" w:cs="Times New Roman"/>
          <w:sz w:val="24"/>
          <w:szCs w:val="24"/>
          <w:u w:val="single"/>
        </w:rPr>
        <w:t>obtai</w:t>
      </w:r>
      <w:r w:rsidRPr="00213770">
        <w:rPr>
          <w:rFonts w:ascii="Times New Roman" w:hAnsi="Times New Roman" w:cs="Times New Roman"/>
          <w:sz w:val="24"/>
          <w:szCs w:val="24"/>
          <w:u w:val="single"/>
        </w:rPr>
        <w:t>n land use, zoning, building and occupancy permits, architectural and engineering services and environmental testing and reviews for</w:t>
      </w:r>
      <w:r>
        <w:rPr>
          <w:rFonts w:ascii="Times New Roman" w:hAnsi="Times New Roman" w:cs="Times New Roman"/>
          <w:sz w:val="24"/>
          <w:szCs w:val="24"/>
        </w:rPr>
        <w:t xml:space="preserve"> [</w:t>
      </w:r>
      <w:r w:rsidRPr="00213770">
        <w:rPr>
          <w:rFonts w:ascii="Times New Roman" w:hAnsi="Times New Roman" w:cs="Times New Roman"/>
          <w:strike/>
          <w:sz w:val="24"/>
          <w:szCs w:val="24"/>
        </w:rPr>
        <w:t>secure</w:t>
      </w:r>
      <w:proofErr w:type="gramStart"/>
      <w:r>
        <w:rPr>
          <w:rFonts w:ascii="Times New Roman" w:hAnsi="Times New Roman" w:cs="Times New Roman"/>
          <w:sz w:val="24"/>
          <w:szCs w:val="24"/>
        </w:rPr>
        <w:t>] a [</w:t>
      </w:r>
      <w:proofErr w:type="gramEnd"/>
      <w:r w:rsidRPr="00213770">
        <w:rPr>
          <w:rFonts w:ascii="Times New Roman" w:hAnsi="Times New Roman" w:cs="Times New Roman"/>
          <w:strike/>
          <w:sz w:val="24"/>
          <w:szCs w:val="24"/>
        </w:rPr>
        <w:t>replacement</w:t>
      </w:r>
      <w:r>
        <w:rPr>
          <w:rFonts w:ascii="Times New Roman" w:hAnsi="Times New Roman" w:cs="Times New Roman"/>
          <w:sz w:val="24"/>
          <w:szCs w:val="24"/>
        </w:rPr>
        <w:t xml:space="preserve">] leasehold </w:t>
      </w:r>
      <w:r w:rsidRPr="00213770">
        <w:rPr>
          <w:rFonts w:ascii="Times New Roman" w:hAnsi="Times New Roman" w:cs="Times New Roman"/>
          <w:sz w:val="24"/>
          <w:szCs w:val="24"/>
          <w:u w:val="single"/>
        </w:rPr>
        <w:t>reasonably</w:t>
      </w:r>
      <w:r>
        <w:rPr>
          <w:rFonts w:ascii="Times New Roman" w:hAnsi="Times New Roman" w:cs="Times New Roman"/>
          <w:sz w:val="24"/>
          <w:szCs w:val="24"/>
        </w:rPr>
        <w:t xml:space="preserve"> equivalent to the Leasehold Estate.</w:t>
      </w:r>
    </w:p>
    <w:p w:rsidR="00213770" w:rsidRPr="00213770" w:rsidRDefault="00213770" w:rsidP="00213770">
      <w:pPr>
        <w:pStyle w:val="ListParagraph"/>
        <w:jc w:val="both"/>
        <w:rPr>
          <w:rFonts w:ascii="Times New Roman" w:hAnsi="Times New Roman" w:cs="Times New Roman"/>
          <w:sz w:val="24"/>
          <w:szCs w:val="24"/>
        </w:rPr>
      </w:pPr>
    </w:p>
    <w:p w:rsidR="000F65DD" w:rsidRDefault="000F65DD" w:rsidP="00213770">
      <w:pPr>
        <w:pStyle w:val="ListParagraph"/>
        <w:numPr>
          <w:ilvl w:val="0"/>
          <w:numId w:val="3"/>
        </w:numPr>
        <w:tabs>
          <w:tab w:val="left" w:pos="5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If Tenant Leasehold Improvements are not substantially completed at the time of Eviction, we will pay you the actual cost you incur, less the salvage value, for the Tenant Leasehold Improvements up to the time of Eviction.  Those costs include costs you incur to obtain land use, zoning, building and occupancy permits, architectural and engineering fees, construction management fees, costs of environmental testing and reviews, landscaping costs and fees, costs and interests on loans for the acquisition and construction.</w:t>
      </w:r>
    </w:p>
    <w:p w:rsidR="000F65DD" w:rsidRPr="000F65DD" w:rsidRDefault="000F65DD" w:rsidP="00213770">
      <w:pPr>
        <w:pStyle w:val="ListParagraph"/>
        <w:numPr>
          <w:ilvl w:val="0"/>
          <w:numId w:val="3"/>
        </w:numPr>
        <w:tabs>
          <w:tab w:val="left" w:pos="5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Our total liability under the </w:t>
      </w:r>
      <w:proofErr w:type="spellStart"/>
      <w:r w:rsidRPr="0072579F">
        <w:rPr>
          <w:rFonts w:ascii="Times New Roman" w:hAnsi="Times New Roman" w:cs="Times New Roman"/>
          <w:strike/>
          <w:sz w:val="24"/>
          <w:szCs w:val="24"/>
        </w:rPr>
        <w:t>P</w:t>
      </w:r>
      <w:r w:rsidR="0072579F" w:rsidRPr="0072579F">
        <w:rPr>
          <w:rFonts w:ascii="Times New Roman" w:hAnsi="Times New Roman" w:cs="Times New Roman"/>
          <w:sz w:val="24"/>
          <w:szCs w:val="24"/>
          <w:u w:val="single"/>
        </w:rPr>
        <w:t>p</w:t>
      </w:r>
      <w:r>
        <w:rPr>
          <w:rFonts w:ascii="Times New Roman" w:hAnsi="Times New Roman" w:cs="Times New Roman"/>
          <w:sz w:val="24"/>
          <w:szCs w:val="24"/>
        </w:rPr>
        <w:t>olicy</w:t>
      </w:r>
      <w:proofErr w:type="spellEnd"/>
      <w:r>
        <w:rPr>
          <w:rFonts w:ascii="Times New Roman" w:hAnsi="Times New Roman" w:cs="Times New Roman"/>
          <w:sz w:val="24"/>
          <w:szCs w:val="24"/>
        </w:rPr>
        <w:t xml:space="preserve"> and </w:t>
      </w:r>
      <w:proofErr w:type="spellStart"/>
      <w:r w:rsidRPr="0072579F">
        <w:rPr>
          <w:rFonts w:ascii="Times New Roman" w:hAnsi="Times New Roman" w:cs="Times New Roman"/>
          <w:strike/>
          <w:sz w:val="24"/>
          <w:szCs w:val="24"/>
        </w:rPr>
        <w:t>E</w:t>
      </w:r>
      <w:r w:rsidR="0072579F" w:rsidRPr="0072579F">
        <w:rPr>
          <w:rFonts w:ascii="Times New Roman" w:hAnsi="Times New Roman" w:cs="Times New Roman"/>
          <w:sz w:val="24"/>
          <w:szCs w:val="24"/>
          <w:u w:val="single"/>
        </w:rPr>
        <w:t>e</w:t>
      </w:r>
      <w:r>
        <w:rPr>
          <w:rFonts w:ascii="Times New Roman" w:hAnsi="Times New Roman" w:cs="Times New Roman"/>
          <w:sz w:val="24"/>
          <w:szCs w:val="24"/>
        </w:rPr>
        <w:t>ndorsements</w:t>
      </w:r>
      <w:proofErr w:type="spellEnd"/>
      <w:r>
        <w:rPr>
          <w:rFonts w:ascii="Times New Roman" w:hAnsi="Times New Roman" w:cs="Times New Roman"/>
          <w:sz w:val="24"/>
          <w:szCs w:val="24"/>
        </w:rPr>
        <w:t xml:space="preserve"> shall not exceed the face amount of the </w:t>
      </w:r>
      <w:proofErr w:type="spellStart"/>
      <w:r w:rsidRPr="0072579F">
        <w:rPr>
          <w:rFonts w:ascii="Times New Roman" w:hAnsi="Times New Roman" w:cs="Times New Roman"/>
          <w:strike/>
          <w:sz w:val="24"/>
          <w:szCs w:val="24"/>
        </w:rPr>
        <w:t>P</w:t>
      </w:r>
      <w:r w:rsidR="0072579F" w:rsidRPr="0072579F">
        <w:rPr>
          <w:rFonts w:ascii="Times New Roman" w:hAnsi="Times New Roman" w:cs="Times New Roman"/>
          <w:sz w:val="24"/>
          <w:szCs w:val="24"/>
          <w:u w:val="single"/>
        </w:rPr>
        <w:t>p</w:t>
      </w:r>
      <w:r>
        <w:rPr>
          <w:rFonts w:ascii="Times New Roman" w:hAnsi="Times New Roman" w:cs="Times New Roman"/>
          <w:sz w:val="24"/>
          <w:szCs w:val="24"/>
        </w:rPr>
        <w:t>olicy</w:t>
      </w:r>
      <w:proofErr w:type="spellEnd"/>
      <w:r>
        <w:rPr>
          <w:rFonts w:ascii="Times New Roman" w:hAnsi="Times New Roman" w:cs="Times New Roman"/>
          <w:sz w:val="24"/>
          <w:szCs w:val="24"/>
        </w:rPr>
        <w:t>.</w:t>
      </w:r>
    </w:p>
    <w:p w:rsidR="008D4D84" w:rsidRDefault="008D4D84" w:rsidP="00213770">
      <w:pPr>
        <w:tabs>
          <w:tab w:val="left" w:pos="540"/>
        </w:tabs>
        <w:spacing w:after="0" w:line="240" w:lineRule="auto"/>
        <w:jc w:val="both"/>
        <w:rPr>
          <w:rFonts w:ascii="Times New Roman" w:hAnsi="Times New Roman" w:cs="Times New Roman"/>
          <w:sz w:val="24"/>
          <w:szCs w:val="24"/>
        </w:rPr>
      </w:pPr>
    </w:p>
    <w:p w:rsidR="000F65DD" w:rsidRDefault="000F65DD" w:rsidP="00213770">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This endorsement is made a part of the policy and is subject to all of the terms and provisions thereof and of any prior endorsements thereto.  Except to the extent expressly stated, it neither modifies any of the terms and provisions of the policy and any prior endorsements, nor does it extend the effective date of the policy and any prior endorsements, nor does it increase the face thereof.</w:t>
      </w:r>
    </w:p>
    <w:p w:rsidR="000F65DD" w:rsidRDefault="000F65DD" w:rsidP="000F65DD">
      <w:pPr>
        <w:tabs>
          <w:tab w:val="left" w:pos="540"/>
        </w:tabs>
        <w:spacing w:after="0" w:line="240" w:lineRule="auto"/>
        <w:rPr>
          <w:rFonts w:ascii="Times New Roman" w:hAnsi="Times New Roman" w:cs="Times New Roman"/>
          <w:sz w:val="24"/>
          <w:szCs w:val="24"/>
        </w:rPr>
      </w:pPr>
    </w:p>
    <w:p w:rsidR="000F65DD" w:rsidRDefault="000F65DD" w:rsidP="000F65DD">
      <w:pPr>
        <w:tabs>
          <w:tab w:val="left" w:pos="54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t>BLANK TITLE INSURANCE COMPANY</w:t>
      </w:r>
    </w:p>
    <w:p w:rsidR="00213770" w:rsidRDefault="00213770" w:rsidP="000F65DD">
      <w:pPr>
        <w:tabs>
          <w:tab w:val="left" w:pos="540"/>
        </w:tabs>
        <w:spacing w:after="0" w:line="240" w:lineRule="auto"/>
        <w:jc w:val="right"/>
        <w:rPr>
          <w:rFonts w:ascii="Times New Roman" w:hAnsi="Times New Roman" w:cs="Times New Roman"/>
          <w:sz w:val="24"/>
          <w:szCs w:val="24"/>
        </w:rPr>
      </w:pPr>
    </w:p>
    <w:p w:rsidR="00213770" w:rsidRDefault="00213770" w:rsidP="000F65DD">
      <w:pPr>
        <w:tabs>
          <w:tab w:val="left" w:pos="540"/>
        </w:tabs>
        <w:spacing w:after="0" w:line="240" w:lineRule="auto"/>
        <w:jc w:val="right"/>
        <w:rPr>
          <w:rFonts w:ascii="Times New Roman" w:hAnsi="Times New Roman" w:cs="Times New Roman"/>
          <w:sz w:val="24"/>
          <w:szCs w:val="24"/>
        </w:rPr>
      </w:pPr>
    </w:p>
    <w:p w:rsidR="00213770" w:rsidRPr="00213770" w:rsidRDefault="00213770" w:rsidP="00213770">
      <w:pPr>
        <w:jc w:val="right"/>
        <w:rPr>
          <w:rFonts w:ascii="Times New Roman" w:hAnsi="Times New Roman" w:cs="Times New Roman"/>
          <w:sz w:val="24"/>
          <w:szCs w:val="24"/>
          <w:u w:val="single"/>
        </w:rPr>
      </w:pPr>
      <w:r>
        <w:rPr>
          <w:rFonts w:ascii="Times New Roman" w:hAnsi="Times New Roman" w:cs="Times New Roman"/>
          <w:sz w:val="24"/>
          <w:szCs w:val="24"/>
        </w:rPr>
        <w:t xml:space="preserve">By: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13770" w:rsidRDefault="00213770" w:rsidP="00213770">
      <w:pPr>
        <w:tabs>
          <w:tab w:val="left" w:pos="540"/>
        </w:tabs>
        <w:spacing w:after="0" w:line="240" w:lineRule="auto"/>
        <w:rPr>
          <w:rFonts w:ascii="Times New Roman" w:hAnsi="Times New Roman" w:cs="Times New Roman"/>
          <w:sz w:val="24"/>
          <w:szCs w:val="24"/>
        </w:rPr>
      </w:pPr>
    </w:p>
    <w:p w:rsidR="00213770" w:rsidRPr="0072579F" w:rsidRDefault="00213770" w:rsidP="00213770">
      <w:pPr>
        <w:tabs>
          <w:tab w:val="left" w:pos="540"/>
        </w:tabs>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Form T-4R:  Residential </w:t>
      </w:r>
      <w:r w:rsidR="0072579F" w:rsidRPr="00BC53F8">
        <w:rPr>
          <w:rFonts w:ascii="Times New Roman" w:hAnsi="Times New Roman" w:cs="Times New Roman"/>
          <w:sz w:val="24"/>
          <w:szCs w:val="24"/>
          <w:highlight w:val="yellow"/>
          <w:u w:val="single"/>
        </w:rPr>
        <w:t>Owner’s</w:t>
      </w:r>
      <w:r w:rsidR="0072579F">
        <w:rPr>
          <w:rFonts w:ascii="Times New Roman" w:hAnsi="Times New Roman" w:cs="Times New Roman"/>
          <w:sz w:val="24"/>
          <w:szCs w:val="24"/>
          <w:u w:val="single"/>
        </w:rPr>
        <w:t xml:space="preserve"> </w:t>
      </w:r>
      <w:r>
        <w:rPr>
          <w:rFonts w:ascii="Times New Roman" w:hAnsi="Times New Roman" w:cs="Times New Roman"/>
          <w:sz w:val="24"/>
          <w:szCs w:val="24"/>
        </w:rPr>
        <w:t>Leasehold Endorsement</w:t>
      </w:r>
      <w:r w:rsidR="0072579F">
        <w:rPr>
          <w:rFonts w:ascii="Times New Roman" w:hAnsi="Times New Roman" w:cs="Times New Roman"/>
          <w:sz w:val="24"/>
          <w:szCs w:val="24"/>
        </w:rPr>
        <w:t xml:space="preserve"> </w:t>
      </w:r>
      <w:r w:rsidR="0072579F" w:rsidRPr="00BC53F8">
        <w:rPr>
          <w:rFonts w:ascii="Times New Roman" w:hAnsi="Times New Roman" w:cs="Times New Roman"/>
          <w:sz w:val="24"/>
          <w:szCs w:val="24"/>
          <w:highlight w:val="yellow"/>
          <w:u w:val="single"/>
        </w:rPr>
        <w:t>(T-1R)</w:t>
      </w:r>
    </w:p>
    <w:p w:rsidR="00213770" w:rsidRDefault="00213770" w:rsidP="00213770">
      <w:pPr>
        <w:tabs>
          <w:tab w:val="left" w:pos="540"/>
        </w:tabs>
        <w:spacing w:after="0" w:line="240" w:lineRule="auto"/>
        <w:rPr>
          <w:rFonts w:ascii="Times New Roman" w:hAnsi="Times New Roman" w:cs="Times New Roman"/>
          <w:sz w:val="24"/>
          <w:szCs w:val="24"/>
        </w:rPr>
      </w:pPr>
    </w:p>
    <w:p w:rsidR="00213770" w:rsidRPr="00FC1BDC" w:rsidRDefault="00213770" w:rsidP="00213770">
      <w:pPr>
        <w:tabs>
          <w:tab w:val="left" w:pos="540"/>
        </w:tabs>
        <w:spacing w:after="0" w:line="240" w:lineRule="auto"/>
        <w:rPr>
          <w:rFonts w:ascii="Times New Roman" w:hAnsi="Times New Roman" w:cs="Times New Roman"/>
        </w:rPr>
      </w:pPr>
      <w:r w:rsidRPr="00FC1BDC">
        <w:rPr>
          <w:rFonts w:ascii="Times New Roman" w:hAnsi="Times New Roman" w:cs="Times New Roman"/>
        </w:rPr>
        <w:t>Justifica</w:t>
      </w:r>
      <w:r w:rsidR="00FC1BDC" w:rsidRPr="00FC1BDC">
        <w:rPr>
          <w:rFonts w:ascii="Times New Roman" w:hAnsi="Times New Roman" w:cs="Times New Roman"/>
        </w:rPr>
        <w:t>t</w:t>
      </w:r>
      <w:r w:rsidRPr="00FC1BDC">
        <w:rPr>
          <w:rFonts w:ascii="Times New Roman" w:hAnsi="Times New Roman" w:cs="Times New Roman"/>
        </w:rPr>
        <w:t>ion:</w:t>
      </w:r>
    </w:p>
    <w:p w:rsidR="00213770" w:rsidRPr="00FC1BDC" w:rsidRDefault="00213770" w:rsidP="00213770">
      <w:pPr>
        <w:tabs>
          <w:tab w:val="left" w:pos="540"/>
        </w:tabs>
        <w:spacing w:after="0" w:line="240" w:lineRule="auto"/>
        <w:jc w:val="both"/>
        <w:rPr>
          <w:rFonts w:ascii="Times New Roman" w:hAnsi="Times New Roman" w:cs="Times New Roman"/>
        </w:rPr>
      </w:pPr>
    </w:p>
    <w:p w:rsidR="00213770" w:rsidRPr="000F65DD" w:rsidRDefault="00213770" w:rsidP="00213770">
      <w:pPr>
        <w:tabs>
          <w:tab w:val="left" w:pos="540"/>
        </w:tabs>
        <w:spacing w:after="0" w:line="240" w:lineRule="auto"/>
        <w:jc w:val="both"/>
        <w:rPr>
          <w:rFonts w:ascii="Times New Roman" w:hAnsi="Times New Roman" w:cs="Times New Roman"/>
          <w:sz w:val="24"/>
          <w:szCs w:val="24"/>
        </w:rPr>
      </w:pPr>
      <w:r w:rsidRPr="00FC1BDC">
        <w:rPr>
          <w:rFonts w:ascii="Times New Roman" w:hAnsi="Times New Roman" w:cs="Times New Roman"/>
        </w:rPr>
        <w:t>The proposed revisions conform to the ALTA Endorsement 13-06 (Leasehold – Owner’s).  Paragraph 3.</w:t>
      </w:r>
      <w:r w:rsidR="007B4C71">
        <w:rPr>
          <w:rFonts w:ascii="Times New Roman" w:hAnsi="Times New Roman" w:cs="Times New Roman"/>
        </w:rPr>
        <w:t>f</w:t>
      </w:r>
      <w:r w:rsidRPr="00FC1BDC">
        <w:rPr>
          <w:rFonts w:ascii="Times New Roman" w:hAnsi="Times New Roman" w:cs="Times New Roman"/>
        </w:rPr>
        <w:t>. is clarified to include a list of covered expenses in securing a leasehold reasonable equivalent to the Leasehold Estate</w:t>
      </w:r>
      <w:r>
        <w:rPr>
          <w:rFonts w:ascii="Times New Roman" w:hAnsi="Times New Roman" w:cs="Times New Roman"/>
          <w:sz w:val="24"/>
          <w:szCs w:val="24"/>
        </w:rPr>
        <w:t>.</w:t>
      </w:r>
    </w:p>
    <w:sectPr w:rsidR="00213770" w:rsidRPr="000F65DD" w:rsidSect="007B4C71">
      <w:headerReference w:type="even" r:id="rId7"/>
      <w:headerReference w:type="default" r:id="rId8"/>
      <w:footerReference w:type="even" r:id="rId9"/>
      <w:footerReference w:type="default" r:id="rId10"/>
      <w:headerReference w:type="first" r:id="rId11"/>
      <w:footerReference w:type="first" r:id="rId12"/>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00D" w:rsidRDefault="0062500D" w:rsidP="000F09AA">
      <w:pPr>
        <w:spacing w:after="0" w:line="240" w:lineRule="auto"/>
      </w:pPr>
      <w:r>
        <w:separator/>
      </w:r>
    </w:p>
  </w:endnote>
  <w:endnote w:type="continuationSeparator" w:id="0">
    <w:p w:rsidR="0062500D" w:rsidRDefault="0062500D" w:rsidP="000F09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00D" w:rsidRDefault="006250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00D" w:rsidRPr="000F09AA" w:rsidRDefault="00BC53F8" w:rsidP="000F09AA">
    <w:pPr>
      <w:pStyle w:val="Footer"/>
    </w:pPr>
    <w:r w:rsidRPr="00BC53F8">
      <w:rPr>
        <w:noProof/>
        <w:vanish/>
        <w:sz w:val="16"/>
      </w:rPr>
      <w:t>{</w:t>
    </w:r>
    <w:r w:rsidRPr="00BC53F8">
      <w:rPr>
        <w:noProof/>
        <w:sz w:val="16"/>
      </w:rPr>
      <w:t>00596022;1</w:t>
    </w:r>
    <w:r w:rsidRPr="00BC53F8">
      <w:rPr>
        <w:noProof/>
        <w:vanish/>
        <w:sz w:val="16"/>
      </w:rPr>
      <w:t>}</w:t>
    </w:r>
    <w:r w:rsidR="0062500D">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00D" w:rsidRDefault="006250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00D" w:rsidRDefault="0062500D" w:rsidP="000F09AA">
      <w:pPr>
        <w:spacing w:after="0" w:line="240" w:lineRule="auto"/>
        <w:rPr>
          <w:noProof/>
        </w:rPr>
      </w:pPr>
      <w:r>
        <w:rPr>
          <w:noProof/>
        </w:rPr>
        <w:separator/>
      </w:r>
    </w:p>
  </w:footnote>
  <w:footnote w:type="continuationSeparator" w:id="0">
    <w:p w:rsidR="0062500D" w:rsidRDefault="0062500D" w:rsidP="000F09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00D" w:rsidRDefault="006250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00D" w:rsidRDefault="006250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00D" w:rsidRDefault="006250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C44B9"/>
    <w:multiLevelType w:val="hybridMultilevel"/>
    <w:tmpl w:val="50EAB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7620F2"/>
    <w:multiLevelType w:val="hybridMultilevel"/>
    <w:tmpl w:val="2326E5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B239BB"/>
    <w:multiLevelType w:val="hybridMultilevel"/>
    <w:tmpl w:val="D616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2A368C"/>
    <w:rsid w:val="000F09AA"/>
    <w:rsid w:val="000F65DD"/>
    <w:rsid w:val="00186F84"/>
    <w:rsid w:val="001A7AE5"/>
    <w:rsid w:val="00213770"/>
    <w:rsid w:val="002A368C"/>
    <w:rsid w:val="003B1C81"/>
    <w:rsid w:val="005D69E7"/>
    <w:rsid w:val="0062500D"/>
    <w:rsid w:val="0072579F"/>
    <w:rsid w:val="00746E64"/>
    <w:rsid w:val="007B4C71"/>
    <w:rsid w:val="008515D3"/>
    <w:rsid w:val="008D4D84"/>
    <w:rsid w:val="00AB34A4"/>
    <w:rsid w:val="00B43407"/>
    <w:rsid w:val="00BC53F8"/>
    <w:rsid w:val="00CD08A2"/>
    <w:rsid w:val="00DC1A10"/>
    <w:rsid w:val="00FC1B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C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68C"/>
    <w:pPr>
      <w:ind w:left="720"/>
      <w:contextualSpacing/>
    </w:pPr>
  </w:style>
  <w:style w:type="paragraph" w:styleId="Header">
    <w:name w:val="header"/>
    <w:basedOn w:val="Normal"/>
    <w:link w:val="HeaderChar"/>
    <w:uiPriority w:val="99"/>
    <w:semiHidden/>
    <w:unhideWhenUsed/>
    <w:rsid w:val="000F09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09AA"/>
  </w:style>
  <w:style w:type="paragraph" w:styleId="Footer">
    <w:name w:val="footer"/>
    <w:basedOn w:val="Normal"/>
    <w:link w:val="FooterChar"/>
    <w:uiPriority w:val="99"/>
    <w:semiHidden/>
    <w:unhideWhenUsed/>
    <w:rsid w:val="000F09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09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4368</Characters>
  <Application>Microsoft Office Word</Application>
  <DocSecurity>4</DocSecurity>
  <PresentationFormat/>
  <Lines>36</Lines>
  <Paragraphs>10</Paragraphs>
  <ScaleCrop>false</ScaleCrop>
  <HeadingPairs>
    <vt:vector size="2" baseType="variant">
      <vt:variant>
        <vt:lpstr>Title</vt:lpstr>
      </vt:variant>
      <vt:variant>
        <vt:i4>1</vt:i4>
      </vt:variant>
    </vt:vector>
  </HeadingPairs>
  <TitlesOfParts>
    <vt:vector size="1" baseType="lpstr">
      <vt:lpstr>STGC 2012-65 (00596022).DOCX</vt:lpstr>
    </vt:vector>
  </TitlesOfParts>
  <Company>Bickerstaff Heath Delgado Acosta LLP</Company>
  <LinksUpToDate>false</LinksUpToDate>
  <CharactersWithSpaces>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STGC Agenda Item 2012-65 (Amended) (00596022).DOCX</dc:title>
  <dc:subject>00596022;1</dc:subject>
  <dc:creator>Nelly Soriano</dc:creator>
  <cp:lastModifiedBy>bkennedy</cp:lastModifiedBy>
  <cp:revision>2</cp:revision>
  <cp:lastPrinted>2012-02-21T21:54:00Z</cp:lastPrinted>
  <dcterms:created xsi:type="dcterms:W3CDTF">2012-02-21T21:54:00Z</dcterms:created>
  <dcterms:modified xsi:type="dcterms:W3CDTF">2012-02-21T21:54:00Z</dcterms:modified>
</cp:coreProperties>
</file>