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10" w:type="pct"/>
        <w:tblLook w:val="04A0"/>
      </w:tblPr>
      <w:tblGrid>
        <w:gridCol w:w="3367"/>
        <w:gridCol w:w="3219"/>
        <w:gridCol w:w="2073"/>
        <w:gridCol w:w="4280"/>
      </w:tblGrid>
      <w:tr w:rsidR="004E4235" w:rsidRPr="006637D0" w:rsidTr="006637D0">
        <w:trPr>
          <w:trHeight w:val="800"/>
        </w:trPr>
        <w:tc>
          <w:tcPr>
            <w:tcW w:w="1301" w:type="pct"/>
            <w:vAlign w:val="bottom"/>
          </w:tcPr>
          <w:p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Current Basis</w:t>
            </w:r>
          </w:p>
        </w:tc>
        <w:tc>
          <w:tcPr>
            <w:tcW w:w="1244" w:type="pct"/>
            <w:vAlign w:val="bottom"/>
          </w:tcPr>
          <w:p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Proposed Basis</w:t>
            </w:r>
          </w:p>
        </w:tc>
        <w:tc>
          <w:tcPr>
            <w:tcW w:w="801" w:type="pct"/>
            <w:vAlign w:val="bottom"/>
          </w:tcPr>
          <w:p w:rsidR="004E4235" w:rsidRPr="006637D0" w:rsidRDefault="004E4235" w:rsidP="006637D0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Change in Deviation</w:t>
            </w:r>
            <w:r w:rsidRPr="006637D0">
              <w:rPr>
                <w:rFonts w:cs="Arial"/>
                <w:b/>
                <w:vertAlign w:val="superscript"/>
              </w:rPr>
              <w:t xml:space="preserve">1 </w:t>
            </w:r>
            <w:r w:rsidRPr="006637D0">
              <w:rPr>
                <w:rFonts w:cs="Arial"/>
                <w:b/>
              </w:rPr>
              <w:t>or Loss Cost Multiplier</w:t>
            </w:r>
            <w:r w:rsidR="006637D0" w:rsidRPr="006637D0">
              <w:rPr>
                <w:rFonts w:cs="Arial"/>
                <w:b/>
                <w:vertAlign w:val="superscript"/>
              </w:rPr>
              <w:t>2</w:t>
            </w:r>
          </w:p>
        </w:tc>
        <w:tc>
          <w:tcPr>
            <w:tcW w:w="1654" w:type="pct"/>
            <w:vAlign w:val="bottom"/>
          </w:tcPr>
          <w:p w:rsidR="004E4235" w:rsidRPr="006637D0" w:rsidRDefault="004E4235" w:rsidP="00D61D08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 xml:space="preserve">Action </w:t>
            </w:r>
          </w:p>
        </w:tc>
      </w:tr>
      <w:tr w:rsidR="004E4235" w:rsidRPr="006637D0" w:rsidTr="006637D0">
        <w:trPr>
          <w:trHeight w:val="728"/>
        </w:trPr>
        <w:tc>
          <w:tcPr>
            <w:tcW w:w="1301" w:type="pct"/>
            <w:tcBorders>
              <w:top w:val="single" w:sz="2" w:space="0" w:color="auto"/>
            </w:tcBorders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6/1/11 TDI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:rsidR="004E4235" w:rsidRPr="006637D0" w:rsidRDefault="00821A13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Notice of Carrier Intent and Certification (CI)</w:t>
            </w:r>
          </w:p>
        </w:tc>
      </w:tr>
      <w:tr w:rsidR="004E4235" w:rsidRPr="006637D0" w:rsidTr="0075314F">
        <w:trPr>
          <w:trHeight w:val="692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2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821A13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4E1C1C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CI </w:t>
            </w:r>
          </w:p>
        </w:tc>
      </w:tr>
      <w:tr w:rsidR="004E4235" w:rsidRPr="006637D0" w:rsidTr="006637D0">
        <w:trPr>
          <w:trHeight w:val="755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None</w:t>
            </w:r>
          </w:p>
        </w:tc>
      </w:tr>
      <w:tr w:rsidR="004E4235" w:rsidRPr="006637D0" w:rsidTr="006637D0">
        <w:trPr>
          <w:trHeight w:val="755"/>
        </w:trPr>
        <w:tc>
          <w:tcPr>
            <w:tcW w:w="13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6/1/11 TDI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4E4235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  <w:r w:rsidR="006637D0" w:rsidRPr="006637D0">
              <w:rPr>
                <w:rFonts w:cs="Arial"/>
                <w:b/>
                <w:vertAlign w:val="superscript"/>
              </w:rPr>
              <w:t>3</w:t>
            </w:r>
          </w:p>
        </w:tc>
      </w:tr>
      <w:tr w:rsidR="004E4235" w:rsidRPr="006637D0" w:rsidTr="0075314F">
        <w:trPr>
          <w:trHeight w:val="854"/>
        </w:trPr>
        <w:tc>
          <w:tcPr>
            <w:tcW w:w="13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6/1/11 TDI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NCCI Loss Costs or 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A53C5F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6637D0">
        <w:trPr>
          <w:trHeight w:val="800"/>
        </w:trPr>
        <w:tc>
          <w:tcPr>
            <w:tcW w:w="13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2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75314F">
        <w:trPr>
          <w:trHeight w:val="800"/>
        </w:trPr>
        <w:tc>
          <w:tcPr>
            <w:tcW w:w="1301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2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 or 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A53C5F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75314F">
        <w:trPr>
          <w:trHeight w:val="737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Revised independent insurer-specific classification relativities</w:t>
            </w:r>
          </w:p>
        </w:tc>
        <w:tc>
          <w:tcPr>
            <w:tcW w:w="8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N/A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:rsidTr="006637D0">
        <w:trPr>
          <w:trHeight w:val="800"/>
        </w:trPr>
        <w:tc>
          <w:tcPr>
            <w:tcW w:w="1301" w:type="pct"/>
            <w:vAlign w:val="center"/>
          </w:tcPr>
          <w:p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Independent insurer-specific classification relativities</w:t>
            </w:r>
          </w:p>
        </w:tc>
        <w:tc>
          <w:tcPr>
            <w:tcW w:w="1244" w:type="pct"/>
            <w:vAlign w:val="center"/>
          </w:tcPr>
          <w:p w:rsidR="004E4235" w:rsidRPr="006637D0" w:rsidRDefault="004E4235" w:rsidP="00197F91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TDI Relativities or 6/1/1</w:t>
            </w:r>
            <w:r w:rsidR="00821A13">
              <w:rPr>
                <w:rFonts w:cs="Arial"/>
              </w:rPr>
              <w:t>3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:rsidR="004E4235" w:rsidRPr="006637D0" w:rsidRDefault="00A53C5F" w:rsidP="00197F91">
            <w:pPr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:rsidR="004E4235" w:rsidRPr="006637D0" w:rsidRDefault="004E4235" w:rsidP="00197F91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</w:tbl>
    <w:p w:rsidR="00841527" w:rsidRPr="00753382" w:rsidRDefault="00841527" w:rsidP="0075314F">
      <w:pPr>
        <w:spacing w:line="240" w:lineRule="auto"/>
        <w:rPr>
          <w:rFonts w:cs="Arial"/>
          <w:sz w:val="4"/>
          <w:szCs w:val="4"/>
        </w:rPr>
      </w:pPr>
    </w:p>
    <w:sectPr w:rsidR="00841527" w:rsidRPr="00753382" w:rsidSect="00753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82" w:rsidRDefault="009D3282" w:rsidP="004E4235">
      <w:pPr>
        <w:spacing w:after="0" w:line="240" w:lineRule="auto"/>
      </w:pPr>
      <w:r>
        <w:separator/>
      </w:r>
    </w:p>
  </w:endnote>
  <w:endnote w:type="continuationSeparator" w:id="0">
    <w:p w:rsidR="009D3282" w:rsidRDefault="009D3282" w:rsidP="004E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02" w:rsidRDefault="00A275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1C" w:rsidRPr="006637D0" w:rsidRDefault="00B0671C" w:rsidP="004E4235">
    <w:pPr>
      <w:spacing w:after="0"/>
      <w:rPr>
        <w:sz w:val="20"/>
        <w:szCs w:val="20"/>
      </w:rPr>
    </w:pPr>
    <w:r w:rsidRPr="006637D0">
      <w:rPr>
        <w:sz w:val="20"/>
        <w:szCs w:val="20"/>
        <w:vertAlign w:val="superscript"/>
      </w:rPr>
      <w:t>1</w:t>
    </w:r>
    <w:r w:rsidRPr="006637D0">
      <w:rPr>
        <w:sz w:val="20"/>
        <w:szCs w:val="20"/>
      </w:rPr>
      <w:t>Deviations only used with the TDI classification relativities.</w:t>
    </w:r>
  </w:p>
  <w:p w:rsidR="00B0671C" w:rsidRPr="006637D0" w:rsidRDefault="00B0671C" w:rsidP="004E4235">
    <w:pPr>
      <w:spacing w:after="0"/>
      <w:rPr>
        <w:sz w:val="20"/>
        <w:szCs w:val="20"/>
      </w:rPr>
    </w:pPr>
    <w:r w:rsidRPr="006637D0">
      <w:rPr>
        <w:sz w:val="20"/>
        <w:szCs w:val="20"/>
        <w:vertAlign w:val="superscript"/>
      </w:rPr>
      <w:t>2</w:t>
    </w:r>
    <w:r w:rsidRPr="006637D0">
      <w:rPr>
        <w:sz w:val="20"/>
        <w:szCs w:val="20"/>
      </w:rPr>
      <w:t xml:space="preserve">Loss cost multipliers only used with the </w:t>
    </w:r>
    <w:r w:rsidR="004F079C">
      <w:rPr>
        <w:sz w:val="20"/>
        <w:szCs w:val="20"/>
      </w:rPr>
      <w:t xml:space="preserve">NCCI </w:t>
    </w:r>
    <w:r w:rsidRPr="006637D0">
      <w:rPr>
        <w:sz w:val="20"/>
        <w:szCs w:val="20"/>
      </w:rPr>
      <w:t>loss costs.</w:t>
    </w:r>
  </w:p>
  <w:p w:rsidR="00B0671C" w:rsidRPr="007E7D92" w:rsidRDefault="00B0671C" w:rsidP="007E7D92">
    <w:pPr>
      <w:shd w:val="clear" w:color="auto" w:fill="FFFFFF"/>
      <w:spacing w:after="254" w:line="240" w:lineRule="auto"/>
      <w:rPr>
        <w:rFonts w:cs="Arial"/>
        <w:color w:val="FF0000"/>
        <w:sz w:val="20"/>
        <w:szCs w:val="20"/>
      </w:rPr>
    </w:pPr>
    <w:r w:rsidRPr="00753382">
      <w:rPr>
        <w:sz w:val="20"/>
        <w:szCs w:val="20"/>
        <w:vertAlign w:val="superscript"/>
      </w:rPr>
      <w:t>3</w:t>
    </w:r>
    <w:r w:rsidR="004F079C">
      <w:rPr>
        <w:rFonts w:cs="Arial"/>
        <w:sz w:val="20"/>
        <w:szCs w:val="20"/>
      </w:rPr>
      <w:t>T</w:t>
    </w:r>
    <w:r w:rsidR="0047178D" w:rsidRPr="0047178D">
      <w:rPr>
        <w:rFonts w:cs="Arial"/>
        <w:sz w:val="20"/>
        <w:szCs w:val="20"/>
      </w:rPr>
      <w:t xml:space="preserve">he </w:t>
    </w:r>
    <w:r w:rsidR="00B207E5" w:rsidRPr="00B207E5">
      <w:rPr>
        <w:rFonts w:cs="Arial"/>
        <w:i/>
        <w:sz w:val="20"/>
        <w:szCs w:val="20"/>
      </w:rPr>
      <w:t>Property and Casualty Filings Made Easy Guide</w:t>
    </w:r>
    <w:r w:rsidR="0047178D" w:rsidRPr="0047178D">
      <w:rPr>
        <w:rFonts w:cs="Arial"/>
        <w:sz w:val="20"/>
        <w:szCs w:val="20"/>
      </w:rPr>
      <w:t xml:space="preserve"> </w:t>
    </w:r>
    <w:r w:rsidR="004F079C">
      <w:rPr>
        <w:rFonts w:cs="Arial"/>
        <w:sz w:val="20"/>
        <w:szCs w:val="20"/>
      </w:rPr>
      <w:t xml:space="preserve">specifies rate filing requirements and is located </w:t>
    </w:r>
    <w:r w:rsidR="0047178D" w:rsidRPr="0047178D">
      <w:rPr>
        <w:rFonts w:cs="Arial"/>
        <w:sz w:val="20"/>
        <w:szCs w:val="20"/>
      </w:rPr>
      <w:t>at</w:t>
    </w:r>
    <w:r w:rsidR="004F079C">
      <w:rPr>
        <w:rFonts w:cs="Arial"/>
        <w:sz w:val="20"/>
        <w:szCs w:val="20"/>
      </w:rPr>
      <w:t xml:space="preserve"> </w:t>
    </w:r>
    <w:r w:rsidR="004F079C" w:rsidRPr="004F079C">
      <w:rPr>
        <w:rStyle w:val="FollowedHyperlink"/>
        <w:rFonts w:cs="Arial"/>
        <w:sz w:val="20"/>
        <w:szCs w:val="20"/>
      </w:rPr>
      <w:t>www.tdi.texas.gov/pubs/pc/rspceasy.html</w:t>
    </w:r>
    <w:r w:rsidR="0047178D" w:rsidRPr="0047178D">
      <w:rPr>
        <w:rFonts w:cs="Arial"/>
        <w:sz w:val="20"/>
        <w:szCs w:val="20"/>
      </w:rPr>
      <w:t xml:space="preserve">.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02" w:rsidRDefault="00A275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82" w:rsidRDefault="009D3282" w:rsidP="004E4235">
      <w:pPr>
        <w:spacing w:after="0" w:line="240" w:lineRule="auto"/>
      </w:pPr>
      <w:r>
        <w:separator/>
      </w:r>
    </w:p>
  </w:footnote>
  <w:footnote w:type="continuationSeparator" w:id="0">
    <w:p w:rsidR="009D3282" w:rsidRDefault="009D3282" w:rsidP="004E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02" w:rsidRDefault="00A275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1C" w:rsidRPr="00841527" w:rsidRDefault="00B0671C" w:rsidP="00841527">
    <w:pPr>
      <w:pStyle w:val="Header"/>
      <w:jc w:val="center"/>
      <w:rPr>
        <w:b/>
        <w:sz w:val="32"/>
        <w:szCs w:val="32"/>
      </w:rPr>
    </w:pPr>
    <w:r w:rsidRPr="00841527">
      <w:rPr>
        <w:b/>
        <w:sz w:val="32"/>
        <w:szCs w:val="32"/>
      </w:rPr>
      <w:t>Summary of Actions Required by Insurers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02" w:rsidRDefault="00A275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4136A"/>
    <w:rsid w:val="00035E78"/>
    <w:rsid w:val="0006556E"/>
    <w:rsid w:val="00115384"/>
    <w:rsid w:val="00152163"/>
    <w:rsid w:val="00197F91"/>
    <w:rsid w:val="001B0C98"/>
    <w:rsid w:val="001D2247"/>
    <w:rsid w:val="001E3A86"/>
    <w:rsid w:val="00233068"/>
    <w:rsid w:val="00317234"/>
    <w:rsid w:val="003F16AD"/>
    <w:rsid w:val="0047178D"/>
    <w:rsid w:val="0048761B"/>
    <w:rsid w:val="004E1C1C"/>
    <w:rsid w:val="004E4235"/>
    <w:rsid w:val="004F079C"/>
    <w:rsid w:val="005A35D0"/>
    <w:rsid w:val="005E3C3F"/>
    <w:rsid w:val="00616010"/>
    <w:rsid w:val="00645F43"/>
    <w:rsid w:val="006637D0"/>
    <w:rsid w:val="00693C3B"/>
    <w:rsid w:val="0075314F"/>
    <w:rsid w:val="00753382"/>
    <w:rsid w:val="007659D5"/>
    <w:rsid w:val="0078490B"/>
    <w:rsid w:val="007E7D92"/>
    <w:rsid w:val="007F3D48"/>
    <w:rsid w:val="00821A13"/>
    <w:rsid w:val="008234AC"/>
    <w:rsid w:val="00841527"/>
    <w:rsid w:val="00866CCE"/>
    <w:rsid w:val="00920F26"/>
    <w:rsid w:val="00924CF1"/>
    <w:rsid w:val="009D3282"/>
    <w:rsid w:val="00A27502"/>
    <w:rsid w:val="00A4136A"/>
    <w:rsid w:val="00A53C5F"/>
    <w:rsid w:val="00B0671C"/>
    <w:rsid w:val="00B207E5"/>
    <w:rsid w:val="00B507C2"/>
    <w:rsid w:val="00BB11E2"/>
    <w:rsid w:val="00C44FCD"/>
    <w:rsid w:val="00C50666"/>
    <w:rsid w:val="00CD0241"/>
    <w:rsid w:val="00D15C58"/>
    <w:rsid w:val="00D61D08"/>
    <w:rsid w:val="00EA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235"/>
  </w:style>
  <w:style w:type="paragraph" w:styleId="Footer">
    <w:name w:val="footer"/>
    <w:basedOn w:val="Normal"/>
    <w:link w:val="FooterChar"/>
    <w:uiPriority w:val="99"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35"/>
  </w:style>
  <w:style w:type="character" w:styleId="FollowedHyperlink">
    <w:name w:val="FollowedHyperlink"/>
    <w:basedOn w:val="DefaultParagraphFont"/>
    <w:rsid w:val="0075338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B950-DDEA-4D63-B213-E0239BE5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2013-02-27T19:28:00Z</dcterms:created>
  <dcterms:modified xsi:type="dcterms:W3CDTF">2013-02-27T19:28:00Z</dcterms:modified>
</cp:coreProperties>
</file>