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AB" w:rsidRPr="00015459" w:rsidRDefault="005E4EAB" w:rsidP="005E4EAB">
      <w:pPr>
        <w:tabs>
          <w:tab w:val="left" w:pos="360"/>
        </w:tabs>
        <w:spacing w:line="240" w:lineRule="atLeast"/>
        <w:jc w:val="center"/>
        <w:rPr>
          <w:rFonts w:ascii="Arial" w:hAnsi="Arial"/>
          <w:b/>
          <w:sz w:val="32"/>
          <w:szCs w:val="32"/>
        </w:rPr>
      </w:pPr>
      <w:r w:rsidRPr="00015459">
        <w:rPr>
          <w:rFonts w:ascii="Arial" w:hAnsi="Arial"/>
          <w:b/>
          <w:sz w:val="32"/>
          <w:szCs w:val="32"/>
        </w:rPr>
        <w:t xml:space="preserve">Call for </w:t>
      </w:r>
      <w:r>
        <w:rPr>
          <w:rFonts w:ascii="Arial" w:hAnsi="Arial"/>
          <w:b/>
          <w:sz w:val="32"/>
          <w:szCs w:val="32"/>
        </w:rPr>
        <w:t>Third</w:t>
      </w:r>
      <w:r w:rsidRPr="00015459">
        <w:rPr>
          <w:rFonts w:ascii="Arial" w:hAnsi="Arial"/>
          <w:b/>
          <w:sz w:val="32"/>
          <w:szCs w:val="32"/>
        </w:rPr>
        <w:t xml:space="preserve"> Quarter Experience </w:t>
      </w:r>
      <w:r>
        <w:rPr>
          <w:rFonts w:ascii="Arial" w:hAnsi="Arial"/>
          <w:b/>
          <w:sz w:val="22"/>
        </w:rPr>
        <w:t>–</w:t>
      </w:r>
      <w:r w:rsidRPr="00015459">
        <w:rPr>
          <w:rFonts w:ascii="Arial" w:hAnsi="Arial"/>
          <w:b/>
          <w:sz w:val="32"/>
          <w:szCs w:val="32"/>
        </w:rPr>
        <w:t xml:space="preserve"> 2013</w:t>
      </w:r>
    </w:p>
    <w:p w:rsidR="005E4EAB" w:rsidRPr="00015459" w:rsidRDefault="005E4EAB" w:rsidP="005E4EAB">
      <w:pPr>
        <w:jc w:val="center"/>
        <w:rPr>
          <w:rFonts w:ascii="Arial" w:hAnsi="Arial"/>
          <w:b/>
          <w:sz w:val="32"/>
          <w:szCs w:val="32"/>
        </w:rPr>
      </w:pPr>
      <w:r w:rsidRPr="00015459">
        <w:rPr>
          <w:rFonts w:ascii="Arial" w:hAnsi="Arial"/>
          <w:b/>
          <w:sz w:val="32"/>
          <w:szCs w:val="32"/>
        </w:rPr>
        <w:t>Workers' Compensation Deductible Plans</w:t>
      </w:r>
    </w:p>
    <w:p w:rsidR="005E4EAB" w:rsidRPr="00015459" w:rsidRDefault="005E4EAB" w:rsidP="005E4EAB">
      <w:pPr>
        <w:jc w:val="center"/>
        <w:rPr>
          <w:rFonts w:ascii="Arial" w:hAnsi="Arial"/>
          <w:b/>
          <w:sz w:val="32"/>
          <w:szCs w:val="32"/>
        </w:rPr>
      </w:pPr>
      <w:r w:rsidRPr="00015459">
        <w:rPr>
          <w:rFonts w:ascii="Arial" w:hAnsi="Arial"/>
          <w:b/>
          <w:sz w:val="32"/>
          <w:szCs w:val="32"/>
        </w:rPr>
        <w:t xml:space="preserve">Due </w:t>
      </w:r>
      <w:r>
        <w:rPr>
          <w:rFonts w:ascii="Arial" w:hAnsi="Arial"/>
          <w:b/>
          <w:sz w:val="32"/>
          <w:szCs w:val="32"/>
        </w:rPr>
        <w:t>November</w:t>
      </w:r>
      <w:r w:rsidRPr="00015459">
        <w:rPr>
          <w:rFonts w:ascii="Arial" w:hAnsi="Arial"/>
          <w:b/>
          <w:sz w:val="32"/>
          <w:szCs w:val="32"/>
        </w:rPr>
        <w:t xml:space="preserve"> 15, 2013</w:t>
      </w:r>
    </w:p>
    <w:p w:rsidR="005E4EAB" w:rsidRPr="00665231" w:rsidRDefault="005E4EAB" w:rsidP="005E4EAB">
      <w:pPr>
        <w:jc w:val="center"/>
        <w:rPr>
          <w:rFonts w:ascii="Arial" w:hAnsi="Arial"/>
          <w:b/>
          <w:sz w:val="22"/>
          <w:szCs w:val="22"/>
        </w:rPr>
      </w:pPr>
    </w:p>
    <w:p w:rsidR="005E4EAB" w:rsidRDefault="005E4EAB" w:rsidP="005E4EAB">
      <w:pPr>
        <w:rPr>
          <w:rFonts w:ascii="Arial" w:hAnsi="Arial"/>
          <w:b/>
          <w:i/>
          <w:sz w:val="24"/>
        </w:rPr>
      </w:pPr>
      <w:r>
        <w:rPr>
          <w:rFonts w:ascii="Arial" w:hAnsi="Arial"/>
          <w:b/>
          <w:i/>
          <w:sz w:val="24"/>
        </w:rPr>
        <w:t>Instructions:</w:t>
      </w:r>
    </w:p>
    <w:p w:rsidR="005E4EAB" w:rsidRDefault="005E4EAB" w:rsidP="005E4EAB">
      <w:pPr>
        <w:rPr>
          <w:rFonts w:ascii="Arial" w:hAnsi="Arial"/>
          <w:b/>
        </w:rPr>
      </w:pPr>
    </w:p>
    <w:p w:rsidR="005E4EAB" w:rsidRDefault="005E4EAB" w:rsidP="005E4EAB">
      <w:pPr>
        <w:ind w:left="1080" w:hanging="360"/>
        <w:rPr>
          <w:rFonts w:ascii="Arial" w:hAnsi="Arial"/>
          <w:sz w:val="22"/>
        </w:rPr>
      </w:pPr>
      <w:r>
        <w:rPr>
          <w:rFonts w:ascii="Arial" w:hAnsi="Arial"/>
          <w:sz w:val="22"/>
        </w:rPr>
        <w:t>1.</w:t>
      </w:r>
      <w:r>
        <w:rPr>
          <w:rFonts w:ascii="Arial" w:hAnsi="Arial"/>
          <w:sz w:val="22"/>
        </w:rPr>
        <w:tab/>
        <w:t xml:space="preserve">Complete this call on an individual carrier basis along with the </w:t>
      </w:r>
      <w:r w:rsidRPr="00F15090">
        <w:rPr>
          <w:rFonts w:ascii="Arial" w:hAnsi="Arial"/>
          <w:i/>
          <w:sz w:val="22"/>
        </w:rPr>
        <w:t xml:space="preserve">Call for </w:t>
      </w:r>
      <w:r>
        <w:rPr>
          <w:rFonts w:ascii="Arial" w:hAnsi="Arial"/>
          <w:i/>
          <w:sz w:val="22"/>
        </w:rPr>
        <w:t>Third</w:t>
      </w:r>
      <w:r w:rsidRPr="00F15090">
        <w:rPr>
          <w:rFonts w:ascii="Arial" w:hAnsi="Arial"/>
          <w:i/>
          <w:sz w:val="22"/>
        </w:rPr>
        <w:t xml:space="preserve"> Quarter Experience</w:t>
      </w:r>
      <w:r>
        <w:rPr>
          <w:rFonts w:ascii="Arial" w:hAnsi="Arial"/>
          <w:sz w:val="22"/>
        </w:rPr>
        <w:t>.</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2.</w:t>
      </w:r>
      <w:r>
        <w:rPr>
          <w:rFonts w:ascii="Arial" w:hAnsi="Arial"/>
          <w:sz w:val="22"/>
        </w:rPr>
        <w:tab/>
        <w:t>Reported experience should be valued as of September 30, 2013.</w:t>
      </w:r>
    </w:p>
    <w:p w:rsidR="005E4EAB" w:rsidRDefault="005E4EAB" w:rsidP="005E4EAB">
      <w:pPr>
        <w:ind w:left="1080" w:hanging="360"/>
        <w:rPr>
          <w:rFonts w:ascii="Arial" w:hAnsi="Arial"/>
          <w:sz w:val="22"/>
        </w:rPr>
      </w:pPr>
    </w:p>
    <w:p w:rsidR="005E4EAB" w:rsidRDefault="005E4EAB" w:rsidP="005E4EAB">
      <w:pPr>
        <w:tabs>
          <w:tab w:val="left" w:pos="360"/>
        </w:tabs>
        <w:spacing w:line="240" w:lineRule="atLeast"/>
        <w:ind w:left="1080" w:hanging="360"/>
        <w:rPr>
          <w:rFonts w:ascii="Arial" w:hAnsi="Arial"/>
          <w:sz w:val="22"/>
        </w:rPr>
      </w:pPr>
      <w:r>
        <w:rPr>
          <w:rFonts w:ascii="Arial" w:hAnsi="Arial"/>
          <w:sz w:val="22"/>
        </w:rPr>
        <w:t>3.</w:t>
      </w:r>
      <w:r>
        <w:rPr>
          <w:rFonts w:ascii="Arial" w:hAnsi="Arial"/>
          <w:sz w:val="22"/>
        </w:rPr>
        <w:tab/>
        <w:t xml:space="preserve">If a company has no experience to report, please do </w:t>
      </w:r>
      <w:r>
        <w:rPr>
          <w:rFonts w:ascii="Arial" w:hAnsi="Arial"/>
          <w:b/>
          <w:sz w:val="22"/>
        </w:rPr>
        <w:t>not</w:t>
      </w:r>
      <w:r>
        <w:rPr>
          <w:rFonts w:ascii="Arial" w:hAnsi="Arial"/>
          <w:sz w:val="22"/>
        </w:rPr>
        <w:t xml:space="preserve"> enter zeros (0) in the form fields.  Instead, click the “NONE” boxes on both the summary page and the workers’ compensation deductible plans page, then follow the instructions on the top portion of the Summary page to submit your report.</w:t>
      </w:r>
    </w:p>
    <w:p w:rsidR="005E4EAB" w:rsidRPr="00235B94" w:rsidRDefault="005E4EAB" w:rsidP="005E4EAB">
      <w:pPr>
        <w:tabs>
          <w:tab w:val="left" w:pos="360"/>
        </w:tabs>
        <w:spacing w:line="240" w:lineRule="atLeast"/>
        <w:ind w:left="1080" w:hanging="360"/>
        <w:rPr>
          <w:rFonts w:ascii="Arial" w:hAnsi="Arial"/>
          <w:b/>
          <w:sz w:val="22"/>
        </w:rPr>
      </w:pPr>
    </w:p>
    <w:p w:rsidR="005E4EAB" w:rsidRPr="00DE1F8F" w:rsidRDefault="005E4EAB" w:rsidP="005E4EAB">
      <w:pPr>
        <w:tabs>
          <w:tab w:val="left" w:pos="360"/>
        </w:tabs>
        <w:spacing w:line="240" w:lineRule="atLeast"/>
        <w:ind w:left="1080" w:hanging="360"/>
        <w:rPr>
          <w:rFonts w:ascii="Arial" w:hAnsi="Arial"/>
          <w:sz w:val="22"/>
        </w:rPr>
      </w:pPr>
      <w:r>
        <w:rPr>
          <w:rFonts w:ascii="Arial" w:hAnsi="Arial"/>
          <w:b/>
          <w:color w:val="FF0000"/>
          <w:sz w:val="22"/>
        </w:rPr>
        <w:tab/>
      </w:r>
      <w:r w:rsidRPr="00DE1F8F">
        <w:rPr>
          <w:rFonts w:ascii="Arial" w:hAnsi="Arial"/>
          <w:b/>
          <w:sz w:val="22"/>
        </w:rPr>
        <w:t xml:space="preserve">Script Errors: </w:t>
      </w:r>
      <w:r>
        <w:rPr>
          <w:rFonts w:ascii="Arial" w:hAnsi="Arial"/>
          <w:b/>
          <w:sz w:val="22"/>
        </w:rPr>
        <w:t xml:space="preserve"> </w:t>
      </w:r>
      <w:r w:rsidRPr="00DE1F8F">
        <w:rPr>
          <w:rFonts w:ascii="Arial" w:hAnsi="Arial"/>
          <w:b/>
          <w:sz w:val="22"/>
        </w:rPr>
        <w:t>These forms contain internal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ntering zeros will cause script errors.</w:t>
      </w:r>
      <w:r>
        <w:rPr>
          <w:rFonts w:ascii="Arial" w:hAnsi="Arial"/>
          <w:b/>
          <w:sz w:val="22"/>
        </w:rPr>
        <w:t xml:space="preserve">  </w:t>
      </w:r>
      <w:r w:rsidRPr="00DE1F8F">
        <w:rPr>
          <w:rFonts w:ascii="Arial" w:hAnsi="Arial"/>
          <w:b/>
          <w:sz w:val="22"/>
        </w:rPr>
        <w:t>To correct this problem, click the “Clear Form” button to restart the form.</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4.</w:t>
      </w:r>
      <w:r>
        <w:rPr>
          <w:rFonts w:ascii="Arial" w:hAnsi="Arial"/>
          <w:sz w:val="22"/>
        </w:rPr>
        <w:tab/>
        <w:t>Complete each deductible plan as applicable for the voluntary portion of the workers' compensation market only.</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ab/>
        <w:t>“Number of Direct Policies Written This Period” [column (1)] is defined as Texas new and renewal policies issued by the company acting as the primary carrier during the quarter.  Adjust for cancellations only if the policy was issued and canceled in the same quarter.  Do not adjust for policies assumed or ceded.  Reported policies should be adjusted to an annual basis.  For example, report a 12-month policy as a 1.0 policy, and report a six-month policy as a 0.5 policy.</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ab/>
      </w:r>
      <w:r w:rsidRPr="00E038CD">
        <w:rPr>
          <w:rFonts w:ascii="Arial" w:hAnsi="Arial"/>
          <w:sz w:val="22"/>
        </w:rPr>
        <w:t>Use the</w:t>
      </w:r>
      <w:r>
        <w:rPr>
          <w:rFonts w:ascii="Arial" w:hAnsi="Arial"/>
          <w:b/>
          <w:sz w:val="22"/>
        </w:rPr>
        <w:t xml:space="preserve"> accounting date, </w:t>
      </w:r>
      <w:r w:rsidRPr="00E038CD">
        <w:rPr>
          <w:rFonts w:ascii="Arial" w:hAnsi="Arial"/>
          <w:sz w:val="22"/>
        </w:rPr>
        <w:t>rather than the effective date</w:t>
      </w:r>
      <w:r>
        <w:rPr>
          <w:rFonts w:ascii="Arial" w:hAnsi="Arial"/>
          <w:sz w:val="22"/>
        </w:rPr>
        <w:t>, to determine the calendar quarter when reporting policies.</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ab/>
        <w:t xml:space="preserve">Use an </w:t>
      </w:r>
      <w:r w:rsidRPr="00E038CD">
        <w:rPr>
          <w:rFonts w:ascii="Arial" w:hAnsi="Arial"/>
          <w:b/>
          <w:sz w:val="22"/>
        </w:rPr>
        <w:t>“</w:t>
      </w:r>
      <w:r>
        <w:rPr>
          <w:rFonts w:ascii="Arial" w:hAnsi="Arial"/>
          <w:b/>
          <w:sz w:val="22"/>
        </w:rPr>
        <w:t>annual premium prior to deductible credit” [column (2)]</w:t>
      </w:r>
      <w:r>
        <w:rPr>
          <w:rFonts w:ascii="Arial" w:hAnsi="Arial"/>
          <w:sz w:val="22"/>
        </w:rPr>
        <w:t xml:space="preserve"> to determine the premium size category.  For example, report a six-month policy with a premium of $4,000 as a 0.5 policy in the $5,000 - $9,999 category for the appropriate plan.</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w:t>
      </w:r>
      <w:r w:rsidRPr="007E2E1A">
        <w:rPr>
          <w:rFonts w:ascii="Arial" w:hAnsi="Arial"/>
          <w:b/>
          <w:sz w:val="22"/>
        </w:rPr>
        <w:t>Prior to</w:t>
      </w:r>
      <w:r>
        <w:rPr>
          <w:rFonts w:ascii="Arial" w:hAnsi="Arial"/>
          <w:sz w:val="22"/>
        </w:rPr>
        <w:t xml:space="preserve"> Deductible Credit” [column (2)] are defined as total policy premiums on the policies reported in column (1) </w:t>
      </w:r>
      <w:r>
        <w:rPr>
          <w:rFonts w:ascii="Arial" w:hAnsi="Arial"/>
          <w:b/>
          <w:sz w:val="22"/>
        </w:rPr>
        <w:t xml:space="preserve">before </w:t>
      </w:r>
      <w:r w:rsidRPr="00E038CD">
        <w:rPr>
          <w:rFonts w:ascii="Arial" w:hAnsi="Arial"/>
          <w:sz w:val="22"/>
        </w:rPr>
        <w:t>the</w:t>
      </w:r>
      <w:r>
        <w:rPr>
          <w:rFonts w:ascii="Arial" w:hAnsi="Arial"/>
          <w:b/>
          <w:sz w:val="22"/>
        </w:rPr>
        <w:t xml:space="preserve"> </w:t>
      </w:r>
      <w:r w:rsidRPr="00E038CD">
        <w:rPr>
          <w:rFonts w:ascii="Arial" w:hAnsi="Arial"/>
          <w:sz w:val="22"/>
        </w:rPr>
        <w:t>credit is given for the purchase of a deductible plan</w:t>
      </w:r>
      <w:r>
        <w:rPr>
          <w:rFonts w:ascii="Arial" w:hAnsi="Arial"/>
          <w:sz w:val="22"/>
        </w:rPr>
        <w:t>.  Do not include premiums from any transaction on a policy issued prior to July 1, 2013, or after September 30, 2013.  Report total policy premium even if initial premium collected was a deposit or third installment premium.  For multi-state policies, report only the Texas portion.</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6.</w:t>
      </w:r>
      <w:r>
        <w:rPr>
          <w:rFonts w:ascii="Arial" w:hAnsi="Arial"/>
          <w:sz w:val="22"/>
        </w:rPr>
        <w:tab/>
        <w:t xml:space="preserve">“Estimated Annual Premiums on Direct Policies Written This Period </w:t>
      </w:r>
      <w:r w:rsidRPr="007E2E1A">
        <w:rPr>
          <w:rFonts w:ascii="Arial" w:hAnsi="Arial"/>
          <w:b/>
          <w:sz w:val="22"/>
        </w:rPr>
        <w:t>After</w:t>
      </w:r>
      <w:r>
        <w:rPr>
          <w:rFonts w:ascii="Arial" w:hAnsi="Arial"/>
          <w:sz w:val="22"/>
        </w:rPr>
        <w:t xml:space="preserve"> Deductible Credit” [column (3)] are defined as total policy premiums on the policies reported in column (1) </w:t>
      </w:r>
      <w:r>
        <w:rPr>
          <w:rFonts w:ascii="Arial" w:hAnsi="Arial"/>
          <w:b/>
          <w:sz w:val="22"/>
        </w:rPr>
        <w:t xml:space="preserve">after </w:t>
      </w:r>
      <w:r w:rsidRPr="00E038CD">
        <w:rPr>
          <w:rFonts w:ascii="Arial" w:hAnsi="Arial"/>
          <w:sz w:val="22"/>
        </w:rPr>
        <w:t>the credit is given for the purchase of a deductible plan</w:t>
      </w:r>
      <w:r>
        <w:rPr>
          <w:rFonts w:ascii="Arial" w:hAnsi="Arial"/>
          <w:sz w:val="22"/>
        </w:rPr>
        <w:t xml:space="preserve">.  Do not include premiums from any transaction on a policy issued prior to July 1, 2013, or </w:t>
      </w:r>
      <w:r>
        <w:rPr>
          <w:rFonts w:ascii="Arial" w:hAnsi="Arial"/>
          <w:sz w:val="22"/>
        </w:rPr>
        <w:lastRenderedPageBreak/>
        <w:t>after September 30, 2013.  Report the total policy premium even if the initial premium collected was a deposit or third installment premium.  For multi-state policies, report only the Texas portion.</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7.</w:t>
      </w:r>
      <w:r>
        <w:rPr>
          <w:rFonts w:ascii="Arial" w:hAnsi="Arial"/>
          <w:sz w:val="22"/>
        </w:rPr>
        <w:tab/>
      </w:r>
      <w:proofErr w:type="gramStart"/>
      <w:r>
        <w:rPr>
          <w:rFonts w:ascii="Arial" w:hAnsi="Arial"/>
          <w:sz w:val="22"/>
        </w:rPr>
        <w:t>For</w:t>
      </w:r>
      <w:proofErr w:type="gramEnd"/>
      <w:r>
        <w:rPr>
          <w:rFonts w:ascii="Arial" w:hAnsi="Arial"/>
          <w:sz w:val="22"/>
        </w:rPr>
        <w:t xml:space="preserve"> policies in which the insured did not purchase a deductible plan, complete section 5, “No Deductible Plan.”  In column (3), enter the annual premiums for the policies reported in column (1).</w:t>
      </w:r>
    </w:p>
    <w:p w:rsidR="005E4EAB" w:rsidRDefault="005E4EAB" w:rsidP="005E4EAB">
      <w:pPr>
        <w:ind w:left="1080" w:hanging="360"/>
        <w:jc w:val="both"/>
        <w:rPr>
          <w:rFonts w:ascii="Arial" w:hAnsi="Arial"/>
          <w:sz w:val="22"/>
        </w:rPr>
      </w:pPr>
    </w:p>
    <w:p w:rsidR="005E4EAB" w:rsidRDefault="005E4EAB" w:rsidP="005E4EAB">
      <w:pPr>
        <w:ind w:left="1080" w:hanging="360"/>
        <w:jc w:val="both"/>
        <w:rPr>
          <w:rFonts w:ascii="Arial" w:hAnsi="Arial"/>
          <w:sz w:val="22"/>
        </w:rPr>
      </w:pPr>
    </w:p>
    <w:p w:rsidR="005E4EAB" w:rsidRDefault="005E4EAB" w:rsidP="005E4EAB">
      <w:pPr>
        <w:ind w:left="1080" w:hanging="360"/>
        <w:rPr>
          <w:rFonts w:ascii="Arial" w:hAnsi="Arial"/>
          <w:sz w:val="22"/>
        </w:rPr>
      </w:pPr>
      <w:r>
        <w:rPr>
          <w:rFonts w:ascii="Arial" w:hAnsi="Arial"/>
          <w:sz w:val="22"/>
        </w:rPr>
        <w:t>8.</w:t>
      </w:r>
      <w:r>
        <w:rPr>
          <w:rFonts w:ascii="Arial" w:hAnsi="Arial"/>
          <w:sz w:val="22"/>
        </w:rPr>
        <w:tab/>
        <w:t xml:space="preserve">The response to question 6a, column (1) of this report should be equal to the response to question 3d, column (1) of the </w:t>
      </w:r>
      <w:r w:rsidRPr="00F15090">
        <w:rPr>
          <w:rFonts w:ascii="Arial" w:hAnsi="Arial"/>
          <w:i/>
          <w:sz w:val="22"/>
        </w:rPr>
        <w:t xml:space="preserve">Call </w:t>
      </w:r>
      <w:proofErr w:type="gramStart"/>
      <w:r w:rsidRPr="00F15090">
        <w:rPr>
          <w:rFonts w:ascii="Arial" w:hAnsi="Arial"/>
          <w:i/>
          <w:sz w:val="22"/>
        </w:rPr>
        <w:t>For</w:t>
      </w:r>
      <w:proofErr w:type="gramEnd"/>
      <w:r w:rsidRPr="00F15090">
        <w:rPr>
          <w:rFonts w:ascii="Arial" w:hAnsi="Arial"/>
          <w:i/>
          <w:sz w:val="22"/>
        </w:rPr>
        <w:t xml:space="preserve"> </w:t>
      </w:r>
      <w:r>
        <w:rPr>
          <w:rFonts w:ascii="Arial" w:hAnsi="Arial"/>
          <w:i/>
          <w:sz w:val="22"/>
        </w:rPr>
        <w:t>Third</w:t>
      </w:r>
      <w:r w:rsidRPr="00F15090">
        <w:rPr>
          <w:rFonts w:ascii="Arial" w:hAnsi="Arial"/>
          <w:i/>
          <w:sz w:val="22"/>
        </w:rPr>
        <w:t xml:space="preserve"> Quarter Experience</w:t>
      </w:r>
      <w:r>
        <w:rPr>
          <w:rFonts w:ascii="Arial" w:hAnsi="Arial"/>
          <w:sz w:val="22"/>
        </w:rPr>
        <w:t>, Summary page.</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sz w:val="22"/>
        </w:rPr>
      </w:pPr>
      <w:r>
        <w:rPr>
          <w:rFonts w:ascii="Arial" w:hAnsi="Arial"/>
          <w:sz w:val="22"/>
        </w:rPr>
        <w:t>9.</w:t>
      </w:r>
      <w:r>
        <w:rPr>
          <w:rFonts w:ascii="Arial" w:hAnsi="Arial"/>
          <w:sz w:val="22"/>
        </w:rPr>
        <w:tab/>
        <w:t xml:space="preserve">The response to question 6a, column (3) of this report should be equal to the response to question 3d, column (2) of the </w:t>
      </w:r>
      <w:r w:rsidRPr="00F15090">
        <w:rPr>
          <w:rFonts w:ascii="Arial" w:hAnsi="Arial"/>
          <w:i/>
          <w:sz w:val="22"/>
        </w:rPr>
        <w:t xml:space="preserve">Call </w:t>
      </w:r>
      <w:proofErr w:type="gramStart"/>
      <w:r w:rsidRPr="00F15090">
        <w:rPr>
          <w:rFonts w:ascii="Arial" w:hAnsi="Arial"/>
          <w:i/>
          <w:sz w:val="22"/>
        </w:rPr>
        <w:t>For</w:t>
      </w:r>
      <w:proofErr w:type="gramEnd"/>
      <w:r w:rsidRPr="00F15090">
        <w:rPr>
          <w:rFonts w:ascii="Arial" w:hAnsi="Arial"/>
          <w:i/>
          <w:sz w:val="22"/>
        </w:rPr>
        <w:t xml:space="preserve"> </w:t>
      </w:r>
      <w:r>
        <w:rPr>
          <w:rFonts w:ascii="Arial" w:hAnsi="Arial"/>
          <w:i/>
          <w:sz w:val="22"/>
        </w:rPr>
        <w:t>Third</w:t>
      </w:r>
      <w:r w:rsidRPr="00F15090">
        <w:rPr>
          <w:rFonts w:ascii="Arial" w:hAnsi="Arial"/>
          <w:i/>
          <w:sz w:val="22"/>
        </w:rPr>
        <w:t xml:space="preserve"> Quarter Experience</w:t>
      </w:r>
      <w:r>
        <w:rPr>
          <w:rFonts w:ascii="Arial" w:hAnsi="Arial"/>
          <w:sz w:val="22"/>
        </w:rPr>
        <w:t>, Summary page.</w:t>
      </w:r>
    </w:p>
    <w:p w:rsidR="005E4EAB" w:rsidRDefault="005E4EAB" w:rsidP="005E4EAB">
      <w:pPr>
        <w:ind w:left="1080" w:hanging="360"/>
        <w:rPr>
          <w:rFonts w:ascii="Arial" w:hAnsi="Arial"/>
          <w:sz w:val="22"/>
        </w:rPr>
      </w:pPr>
    </w:p>
    <w:p w:rsidR="005E4EAB" w:rsidRDefault="005E4EAB" w:rsidP="005E4EAB">
      <w:pPr>
        <w:ind w:left="1080" w:hanging="360"/>
        <w:rPr>
          <w:rFonts w:ascii="Arial" w:hAnsi="Arial"/>
        </w:rPr>
      </w:pPr>
      <w:r>
        <w:rPr>
          <w:rFonts w:ascii="Arial" w:hAnsi="Arial"/>
          <w:sz w:val="22"/>
        </w:rPr>
        <w:t>10.</w:t>
      </w:r>
      <w:r>
        <w:rPr>
          <w:rFonts w:ascii="Arial" w:hAnsi="Arial"/>
          <w:sz w:val="22"/>
        </w:rPr>
        <w:tab/>
        <w:t>TDI will issue additional calls as experience for subsequent calendar quarters becomes available.  Those calls will be due approximately 45 days after the end of the quarter.</w:t>
      </w:r>
    </w:p>
    <w:p w:rsidR="005E4EAB" w:rsidRPr="00D20708" w:rsidRDefault="005E4EAB" w:rsidP="005E4EAB">
      <w:pPr>
        <w:ind w:left="1080" w:hanging="360"/>
        <w:rPr>
          <w:rFonts w:ascii="Arial" w:hAnsi="Arial"/>
          <w:b/>
          <w:sz w:val="22"/>
        </w:rPr>
      </w:pPr>
    </w:p>
    <w:p w:rsidR="005E4EAB" w:rsidRDefault="005E4EAB" w:rsidP="005E4EAB">
      <w:pPr>
        <w:ind w:left="1080" w:hanging="360"/>
        <w:rPr>
          <w:rFonts w:ascii="Arial" w:hAnsi="Arial"/>
          <w:b/>
          <w:sz w:val="22"/>
        </w:rPr>
      </w:pPr>
    </w:p>
    <w:p w:rsidR="005E4EAB" w:rsidRDefault="005E4EAB" w:rsidP="005E4EAB">
      <w:pPr>
        <w:tabs>
          <w:tab w:val="left" w:pos="720"/>
        </w:tabs>
        <w:ind w:left="1080" w:hanging="360"/>
        <w:rPr>
          <w:rFonts w:ascii="Arial" w:hAnsi="Arial"/>
          <w:sz w:val="22"/>
        </w:rPr>
      </w:pPr>
      <w:r>
        <w:rPr>
          <w:rFonts w:ascii="Arial" w:hAnsi="Arial"/>
          <w:b/>
          <w:sz w:val="22"/>
        </w:rPr>
        <w:tab/>
        <w:t>Fax or mail the signed Affidavit to:</w:t>
      </w:r>
    </w:p>
    <w:p w:rsidR="005E4EAB" w:rsidRDefault="005E4EAB" w:rsidP="005E4EAB">
      <w:pPr>
        <w:tabs>
          <w:tab w:val="left" w:pos="720"/>
        </w:tabs>
        <w:ind w:left="1080" w:hanging="360"/>
        <w:rPr>
          <w:rFonts w:ascii="Arial" w:hAnsi="Arial"/>
          <w:b/>
          <w:sz w:val="22"/>
        </w:rPr>
      </w:pPr>
    </w:p>
    <w:p w:rsidR="005E4EAB" w:rsidRPr="001D7DC4" w:rsidRDefault="005E4EAB" w:rsidP="005E4EAB">
      <w:pPr>
        <w:tabs>
          <w:tab w:val="left" w:pos="720"/>
        </w:tabs>
        <w:ind w:left="1080" w:hanging="360"/>
        <w:rPr>
          <w:rFonts w:ascii="Arial" w:hAnsi="Arial"/>
          <w:sz w:val="22"/>
        </w:rPr>
      </w:pPr>
      <w:r>
        <w:rPr>
          <w:rFonts w:ascii="Arial" w:hAnsi="Arial"/>
          <w:b/>
          <w:sz w:val="22"/>
        </w:rPr>
        <w:tab/>
      </w:r>
      <w:r w:rsidRPr="001D7DC4">
        <w:rPr>
          <w:rFonts w:ascii="Arial" w:hAnsi="Arial"/>
          <w:sz w:val="22"/>
        </w:rPr>
        <w:t>Julie Jones</w:t>
      </w:r>
    </w:p>
    <w:p w:rsidR="005E4EAB" w:rsidRPr="001D7DC4" w:rsidRDefault="005E4EAB" w:rsidP="005E4EAB">
      <w:pPr>
        <w:tabs>
          <w:tab w:val="left" w:pos="720"/>
        </w:tabs>
        <w:ind w:left="1080" w:hanging="360"/>
        <w:rPr>
          <w:rFonts w:ascii="Arial" w:hAnsi="Arial"/>
          <w:sz w:val="22"/>
        </w:rPr>
      </w:pPr>
      <w:r>
        <w:rPr>
          <w:rFonts w:ascii="Arial" w:hAnsi="Arial"/>
          <w:sz w:val="22"/>
        </w:rPr>
        <w:tab/>
      </w:r>
      <w:r w:rsidRPr="001D7DC4">
        <w:rPr>
          <w:rFonts w:ascii="Arial" w:hAnsi="Arial"/>
          <w:sz w:val="22"/>
        </w:rPr>
        <w:t>Texas Department of Insurance</w:t>
      </w:r>
      <w:r>
        <w:rPr>
          <w:rFonts w:ascii="Arial" w:hAnsi="Arial"/>
          <w:sz w:val="22"/>
        </w:rPr>
        <w:t xml:space="preserve"> </w:t>
      </w:r>
    </w:p>
    <w:p w:rsidR="005E4EAB" w:rsidRPr="001D7DC4" w:rsidRDefault="005E4EAB" w:rsidP="005E4EAB">
      <w:pPr>
        <w:tabs>
          <w:tab w:val="left" w:pos="720"/>
        </w:tabs>
        <w:ind w:left="1080" w:hanging="360"/>
        <w:rPr>
          <w:rFonts w:ascii="Arial" w:hAnsi="Arial"/>
          <w:sz w:val="22"/>
        </w:rPr>
      </w:pPr>
      <w:r>
        <w:rPr>
          <w:rFonts w:ascii="Arial" w:hAnsi="Arial"/>
          <w:sz w:val="22"/>
        </w:rPr>
        <w:tab/>
      </w:r>
      <w:r w:rsidRPr="001D7DC4">
        <w:rPr>
          <w:rFonts w:ascii="Arial" w:hAnsi="Arial"/>
          <w:sz w:val="22"/>
        </w:rPr>
        <w:t>MC 105-5D</w:t>
      </w:r>
    </w:p>
    <w:p w:rsidR="005E4EAB" w:rsidRPr="001D7DC4" w:rsidRDefault="005E4EAB" w:rsidP="005E4EAB">
      <w:pPr>
        <w:tabs>
          <w:tab w:val="left" w:pos="720"/>
        </w:tabs>
        <w:ind w:left="1080" w:hanging="360"/>
        <w:rPr>
          <w:rFonts w:ascii="Arial" w:hAnsi="Arial"/>
          <w:sz w:val="22"/>
        </w:rPr>
      </w:pPr>
      <w:r>
        <w:rPr>
          <w:rFonts w:ascii="Arial" w:hAnsi="Arial"/>
          <w:sz w:val="22"/>
        </w:rPr>
        <w:tab/>
      </w:r>
      <w:r w:rsidRPr="001D7DC4">
        <w:rPr>
          <w:rFonts w:ascii="Arial" w:hAnsi="Arial"/>
          <w:sz w:val="22"/>
        </w:rPr>
        <w:t>P</w:t>
      </w:r>
      <w:r>
        <w:rPr>
          <w:rFonts w:ascii="Arial" w:hAnsi="Arial"/>
          <w:sz w:val="22"/>
        </w:rPr>
        <w:t>.</w:t>
      </w:r>
      <w:r w:rsidRPr="001D7DC4">
        <w:rPr>
          <w:rFonts w:ascii="Arial" w:hAnsi="Arial"/>
          <w:sz w:val="22"/>
        </w:rPr>
        <w:t>O</w:t>
      </w:r>
      <w:r>
        <w:rPr>
          <w:rFonts w:ascii="Arial" w:hAnsi="Arial"/>
          <w:sz w:val="22"/>
        </w:rPr>
        <w:t>.</w:t>
      </w:r>
      <w:r w:rsidRPr="001D7DC4">
        <w:rPr>
          <w:rFonts w:ascii="Arial" w:hAnsi="Arial"/>
          <w:sz w:val="22"/>
        </w:rPr>
        <w:t xml:space="preserve"> Box 149104</w:t>
      </w:r>
      <w:r>
        <w:rPr>
          <w:rFonts w:ascii="Arial" w:hAnsi="Arial"/>
          <w:sz w:val="22"/>
        </w:rPr>
        <w:t xml:space="preserve"> </w:t>
      </w:r>
    </w:p>
    <w:p w:rsidR="005E4EAB" w:rsidRDefault="005E4EAB" w:rsidP="005E4EAB">
      <w:pPr>
        <w:tabs>
          <w:tab w:val="left" w:pos="720"/>
        </w:tabs>
        <w:ind w:left="1080" w:hanging="360"/>
        <w:rPr>
          <w:rFonts w:ascii="Arial" w:hAnsi="Arial"/>
          <w:sz w:val="22"/>
        </w:rPr>
      </w:pPr>
      <w:r>
        <w:rPr>
          <w:rFonts w:ascii="Arial" w:hAnsi="Arial"/>
          <w:sz w:val="22"/>
        </w:rPr>
        <w:tab/>
      </w:r>
      <w:r w:rsidRPr="001D7DC4">
        <w:rPr>
          <w:rFonts w:ascii="Arial" w:hAnsi="Arial"/>
          <w:sz w:val="22"/>
        </w:rPr>
        <w:t>Austin, TX 78714-9104</w:t>
      </w:r>
    </w:p>
    <w:p w:rsidR="005E4EAB" w:rsidRDefault="005E4EAB" w:rsidP="005E4EAB">
      <w:pPr>
        <w:tabs>
          <w:tab w:val="left" w:pos="720"/>
        </w:tabs>
        <w:ind w:left="1080" w:hanging="360"/>
        <w:rPr>
          <w:rFonts w:ascii="Arial" w:hAnsi="Arial"/>
          <w:b/>
          <w:sz w:val="22"/>
        </w:rPr>
      </w:pPr>
    </w:p>
    <w:p w:rsidR="005E4EAB" w:rsidRPr="00524C63" w:rsidRDefault="005E4EAB" w:rsidP="005E4EAB">
      <w:pPr>
        <w:tabs>
          <w:tab w:val="left" w:pos="720"/>
        </w:tabs>
        <w:ind w:left="1080" w:hanging="360"/>
        <w:rPr>
          <w:rFonts w:ascii="Arial" w:hAnsi="Arial"/>
          <w:sz w:val="22"/>
        </w:rPr>
      </w:pPr>
      <w:r>
        <w:rPr>
          <w:rFonts w:ascii="Arial" w:hAnsi="Arial"/>
          <w:sz w:val="22"/>
        </w:rPr>
        <w:tab/>
        <w:t>Fax: 512-463-6122</w:t>
      </w:r>
    </w:p>
    <w:p w:rsidR="005E4EAB" w:rsidRDefault="005E4EAB" w:rsidP="005E4EAB">
      <w:pPr>
        <w:ind w:left="1080" w:hanging="360"/>
        <w:rPr>
          <w:rFonts w:ascii="Arial" w:hAnsi="Arial"/>
          <w:b/>
          <w:sz w:val="22"/>
        </w:rPr>
      </w:pPr>
    </w:p>
    <w:p w:rsidR="005E4EAB" w:rsidRDefault="005E4EAB" w:rsidP="005E4EAB">
      <w:pPr>
        <w:ind w:left="1080" w:hanging="360"/>
        <w:rPr>
          <w:rFonts w:ascii="Arial" w:hAnsi="Arial"/>
          <w:b/>
          <w:sz w:val="22"/>
        </w:rPr>
      </w:pPr>
    </w:p>
    <w:p w:rsidR="005E4EAB" w:rsidRDefault="005E4EAB" w:rsidP="005E4EAB">
      <w:pPr>
        <w:ind w:left="1080" w:hanging="360"/>
        <w:rPr>
          <w:rFonts w:ascii="Arial" w:hAnsi="Arial"/>
          <w:b/>
          <w:sz w:val="22"/>
        </w:rPr>
      </w:pPr>
    </w:p>
    <w:p w:rsidR="005E4EAB" w:rsidRDefault="005E4EAB" w:rsidP="005E4EAB">
      <w:pPr>
        <w:ind w:left="360" w:hanging="360"/>
        <w:rPr>
          <w:rFonts w:ascii="Arial" w:hAnsi="Arial"/>
          <w:b/>
          <w:sz w:val="22"/>
        </w:rPr>
      </w:pPr>
    </w:p>
    <w:p w:rsidR="005E4EAB" w:rsidRDefault="005E4EAB" w:rsidP="005E4EAB">
      <w:pPr>
        <w:ind w:left="360" w:hanging="360"/>
        <w:rPr>
          <w:rFonts w:ascii="Arial" w:hAnsi="Arial"/>
          <w:b/>
          <w:sz w:val="22"/>
        </w:rPr>
      </w:pPr>
    </w:p>
    <w:p w:rsidR="005E4EAB" w:rsidRDefault="005E4EAB" w:rsidP="005E4EAB">
      <w:pPr>
        <w:ind w:left="360" w:hanging="360"/>
        <w:rPr>
          <w:rFonts w:ascii="Arial" w:hAnsi="Arial"/>
          <w:b/>
          <w:sz w:val="22"/>
        </w:rPr>
      </w:pPr>
    </w:p>
    <w:p w:rsidR="005E4EAB" w:rsidRDefault="005E4EAB" w:rsidP="005E4EAB">
      <w:pPr>
        <w:ind w:left="360" w:hanging="360"/>
        <w:rPr>
          <w:rFonts w:ascii="Arial" w:hAnsi="Arial"/>
          <w:b/>
          <w:sz w:val="22"/>
        </w:rPr>
      </w:pPr>
    </w:p>
    <w:p w:rsidR="005E4EAB" w:rsidRDefault="005E4EAB" w:rsidP="005E4EAB">
      <w:pPr>
        <w:ind w:left="360" w:hanging="360"/>
        <w:rPr>
          <w:rFonts w:ascii="Arial" w:hAnsi="Arial"/>
          <w:b/>
          <w:sz w:val="22"/>
        </w:rPr>
      </w:pPr>
    </w:p>
    <w:p w:rsidR="005E4EAB" w:rsidRDefault="005E4EAB" w:rsidP="005E4EAB">
      <w:pPr>
        <w:ind w:left="360" w:hanging="360"/>
        <w:rPr>
          <w:rFonts w:ascii="Arial" w:hAnsi="Arial"/>
          <w:b/>
          <w:sz w:val="22"/>
        </w:rPr>
      </w:pPr>
    </w:p>
    <w:p w:rsidR="00571C54" w:rsidRDefault="00571C54" w:rsidP="005E4EAB">
      <w:pPr>
        <w:ind w:left="360" w:hanging="360"/>
        <w:rPr>
          <w:rFonts w:ascii="Arial" w:hAnsi="Arial"/>
          <w:b/>
          <w:sz w:val="22"/>
        </w:rPr>
      </w:pPr>
    </w:p>
    <w:p w:rsidR="00571C54" w:rsidRDefault="00571C54" w:rsidP="005E4EAB">
      <w:pPr>
        <w:ind w:left="360" w:hanging="360"/>
        <w:rPr>
          <w:rFonts w:ascii="Arial" w:hAnsi="Arial"/>
          <w:b/>
          <w:sz w:val="22"/>
        </w:rPr>
      </w:pPr>
    </w:p>
    <w:p w:rsidR="005E4EAB" w:rsidRDefault="005E4EAB" w:rsidP="005E4EAB">
      <w:pPr>
        <w:ind w:left="360" w:hanging="360"/>
        <w:rPr>
          <w:rFonts w:ascii="Arial" w:hAnsi="Arial"/>
          <w:b/>
          <w:sz w:val="22"/>
        </w:rPr>
      </w:pPr>
    </w:p>
    <w:p w:rsidR="005E4EAB" w:rsidRDefault="005E4EAB" w:rsidP="005E4EAB">
      <w:pPr>
        <w:jc w:val="center"/>
        <w:rPr>
          <w:rFonts w:ascii="Arial" w:hAnsi="Arial"/>
          <w:sz w:val="22"/>
        </w:rPr>
      </w:pPr>
      <w:r>
        <w:rPr>
          <w:rFonts w:ascii="Arial" w:hAnsi="Arial"/>
          <w:sz w:val="22"/>
        </w:rPr>
        <w:t xml:space="preserve">Direct questions concerning this call to Julie Jones, </w:t>
      </w:r>
    </w:p>
    <w:p w:rsidR="005E4EAB" w:rsidRDefault="005E4EAB" w:rsidP="005E4EAB">
      <w:pPr>
        <w:jc w:val="center"/>
        <w:rPr>
          <w:rFonts w:ascii="Arial" w:hAnsi="Arial"/>
          <w:sz w:val="22"/>
        </w:rPr>
      </w:pPr>
      <w:r>
        <w:rPr>
          <w:rFonts w:ascii="Arial" w:hAnsi="Arial"/>
          <w:sz w:val="22"/>
        </w:rPr>
        <w:t>Texas Department of Insurance, phone: 512-475-3030, fax: 512-463-6122</w:t>
      </w:r>
    </w:p>
    <w:p w:rsidR="005E4EAB" w:rsidRPr="00F62DF7" w:rsidRDefault="005E4EAB" w:rsidP="005E4EAB">
      <w:pPr>
        <w:jc w:val="center"/>
        <w:rPr>
          <w:rFonts w:ascii="Arial" w:hAnsi="Arial"/>
          <w:sz w:val="22"/>
          <w:lang w:val="fr-FR"/>
        </w:rPr>
      </w:pPr>
      <w:r>
        <w:rPr>
          <w:rFonts w:ascii="Arial" w:hAnsi="Arial"/>
          <w:sz w:val="22"/>
          <w:lang w:val="fr-FR"/>
        </w:rPr>
        <w:t xml:space="preserve">email: </w:t>
      </w:r>
      <w:r w:rsidRPr="00F62DF7">
        <w:rPr>
          <w:rFonts w:ascii="Arial" w:hAnsi="Arial"/>
          <w:sz w:val="22"/>
          <w:lang w:val="fr-FR"/>
        </w:rPr>
        <w:t>julie.jones@tdi.</w:t>
      </w:r>
      <w:r>
        <w:rPr>
          <w:rFonts w:ascii="Arial" w:hAnsi="Arial"/>
          <w:sz w:val="22"/>
          <w:lang w:val="fr-FR"/>
        </w:rPr>
        <w:t>texas.gov.</w:t>
      </w:r>
    </w:p>
    <w:p w:rsidR="005E4EAB" w:rsidRPr="00F62DF7" w:rsidRDefault="005E4EAB" w:rsidP="005E4EAB">
      <w:pPr>
        <w:jc w:val="center"/>
        <w:rPr>
          <w:rFonts w:ascii="Arial" w:hAnsi="Arial"/>
          <w:sz w:val="22"/>
          <w:lang w:val="fr-FR"/>
        </w:rPr>
      </w:pPr>
    </w:p>
    <w:p w:rsidR="005E4EAB" w:rsidRPr="00F62DF7" w:rsidRDefault="005E4EAB" w:rsidP="005E4EAB">
      <w:pPr>
        <w:jc w:val="center"/>
        <w:rPr>
          <w:rFonts w:ascii="Arial" w:hAnsi="Arial"/>
          <w:lang w:val="fr-FR"/>
        </w:rPr>
      </w:pPr>
    </w:p>
    <w:p w:rsidR="005E4EAB" w:rsidRPr="0015074C" w:rsidRDefault="005E4EAB" w:rsidP="005E4EAB">
      <w:pPr>
        <w:jc w:val="center"/>
        <w:rPr>
          <w:rFonts w:ascii="Arial" w:hAnsi="Arial"/>
          <w:b/>
          <w:i/>
        </w:rPr>
      </w:pPr>
      <w:r w:rsidRPr="0015074C">
        <w:rPr>
          <w:rFonts w:ascii="Arial" w:hAnsi="Arial"/>
          <w:b/>
          <w:i/>
        </w:rPr>
        <w:t>The forms for the Quarterly Call for Experience are</w:t>
      </w:r>
    </w:p>
    <w:p w:rsidR="005E4EAB" w:rsidRPr="0015074C" w:rsidRDefault="005E4EAB" w:rsidP="005E4EAB">
      <w:pPr>
        <w:jc w:val="center"/>
        <w:rPr>
          <w:rFonts w:ascii="Arial" w:hAnsi="Arial"/>
          <w:b/>
          <w:i/>
        </w:rPr>
      </w:pPr>
      <w:proofErr w:type="gramStart"/>
      <w:r w:rsidRPr="0015074C">
        <w:rPr>
          <w:rFonts w:ascii="Arial" w:hAnsi="Arial"/>
          <w:b/>
          <w:i/>
        </w:rPr>
        <w:t>available</w:t>
      </w:r>
      <w:proofErr w:type="gramEnd"/>
      <w:r w:rsidRPr="0015074C">
        <w:rPr>
          <w:rFonts w:ascii="Arial" w:hAnsi="Arial"/>
          <w:b/>
          <w:i/>
        </w:rPr>
        <w:t xml:space="preserve"> via the Internet at www.tdi.texas.gov</w:t>
      </w:r>
      <w:r>
        <w:rPr>
          <w:rFonts w:ascii="Arial" w:hAnsi="Arial"/>
          <w:b/>
          <w:i/>
        </w:rPr>
        <w:t>.</w:t>
      </w:r>
    </w:p>
    <w:sectPr w:rsidR="005E4EAB" w:rsidRPr="0015074C" w:rsidSect="00587E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5E4EAB"/>
    <w:rsid w:val="00043D9B"/>
    <w:rsid w:val="000F57DE"/>
    <w:rsid w:val="00101B68"/>
    <w:rsid w:val="0014253A"/>
    <w:rsid w:val="001541C1"/>
    <w:rsid w:val="00213AC2"/>
    <w:rsid w:val="002730C5"/>
    <w:rsid w:val="002E0F5B"/>
    <w:rsid w:val="00301CBA"/>
    <w:rsid w:val="00303F7F"/>
    <w:rsid w:val="0030583D"/>
    <w:rsid w:val="0035277A"/>
    <w:rsid w:val="004C5329"/>
    <w:rsid w:val="004C5565"/>
    <w:rsid w:val="00571C54"/>
    <w:rsid w:val="00587E55"/>
    <w:rsid w:val="005C6C04"/>
    <w:rsid w:val="005D7B95"/>
    <w:rsid w:val="005E0CE1"/>
    <w:rsid w:val="005E4EAB"/>
    <w:rsid w:val="00661121"/>
    <w:rsid w:val="00685961"/>
    <w:rsid w:val="006E5426"/>
    <w:rsid w:val="006F1F06"/>
    <w:rsid w:val="0073429D"/>
    <w:rsid w:val="007B3A79"/>
    <w:rsid w:val="00857837"/>
    <w:rsid w:val="00871598"/>
    <w:rsid w:val="00AD2985"/>
    <w:rsid w:val="00BF659C"/>
    <w:rsid w:val="00DA5308"/>
    <w:rsid w:val="00F54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EAB"/>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C6C04"/>
    <w:pPr>
      <w:framePr w:w="7920" w:h="1980" w:hRule="exact" w:hSpace="180" w:wrap="auto" w:hAnchor="page" w:xAlign="center" w:yAlign="bottom"/>
      <w:ind w:left="2880"/>
    </w:pPr>
    <w:rPr>
      <w:rFonts w:ascii="Arial" w:eastAsiaTheme="majorEastAsia" w:hAnsi="Arial"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3380</Characters>
  <Application>Microsoft Office Word</Application>
  <DocSecurity>0</DocSecurity>
  <Lines>28</Lines>
  <Paragraphs>7</Paragraphs>
  <ScaleCrop>false</ScaleCrop>
  <Company>Texas Department of Insurance</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Ortega</dc:creator>
  <cp:lastModifiedBy> </cp:lastModifiedBy>
  <cp:revision>2</cp:revision>
  <dcterms:created xsi:type="dcterms:W3CDTF">2013-10-03T20:25:00Z</dcterms:created>
  <dcterms:modified xsi:type="dcterms:W3CDTF">2013-10-03T20:26:00Z</dcterms:modified>
</cp:coreProperties>
</file>