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410" w:rsidRPr="003F6566" w:rsidRDefault="00D51410" w:rsidP="00D51410">
      <w:pPr>
        <w:tabs>
          <w:tab w:val="left" w:pos="360"/>
        </w:tabs>
        <w:spacing w:line="240" w:lineRule="atLeast"/>
        <w:jc w:val="center"/>
        <w:rPr>
          <w:rFonts w:ascii="Arial" w:hAnsi="Arial" w:cs="Arial"/>
          <w:b/>
          <w:sz w:val="32"/>
          <w:szCs w:val="32"/>
        </w:rPr>
      </w:pPr>
      <w:r w:rsidRPr="003F6566">
        <w:rPr>
          <w:rFonts w:ascii="Arial" w:hAnsi="Arial" w:cs="Arial"/>
          <w:b/>
          <w:sz w:val="32"/>
          <w:szCs w:val="32"/>
        </w:rPr>
        <w:t>Property and Casualty Rate Filing Exhibit</w:t>
      </w:r>
    </w:p>
    <w:p w:rsidR="00D51410" w:rsidRPr="0015074C" w:rsidRDefault="00D51410" w:rsidP="00D51410">
      <w:pPr>
        <w:rPr>
          <w:rFonts w:ascii="Arial" w:hAnsi="Arial"/>
          <w:sz w:val="16"/>
          <w:szCs w:val="16"/>
        </w:rPr>
      </w:pPr>
    </w:p>
    <w:p w:rsidR="00D51410" w:rsidRPr="00334F23" w:rsidRDefault="00D51410" w:rsidP="00D51410">
      <w:pPr>
        <w:rPr>
          <w:rFonts w:ascii="Arial" w:hAnsi="Arial"/>
          <w:b/>
          <w:i/>
          <w:sz w:val="24"/>
        </w:rPr>
      </w:pPr>
      <w:r w:rsidRPr="00334F23">
        <w:rPr>
          <w:rFonts w:ascii="Arial" w:hAnsi="Arial"/>
          <w:b/>
          <w:i/>
          <w:sz w:val="24"/>
        </w:rPr>
        <w:t>Instructions:</w:t>
      </w:r>
    </w:p>
    <w:p w:rsidR="00D51410" w:rsidRPr="00355D16" w:rsidRDefault="00D51410" w:rsidP="00D51410">
      <w:pPr>
        <w:rPr>
          <w:rFonts w:ascii="Arial" w:hAnsi="Arial"/>
          <w:b/>
          <w:i/>
          <w:sz w:val="12"/>
          <w:szCs w:val="12"/>
        </w:rPr>
      </w:pPr>
    </w:p>
    <w:p w:rsidR="00D51410" w:rsidRPr="00334F23" w:rsidRDefault="00D51410" w:rsidP="00D51410">
      <w:pPr>
        <w:tabs>
          <w:tab w:val="left" w:pos="0"/>
        </w:tabs>
        <w:spacing w:line="240" w:lineRule="atLeast"/>
        <w:rPr>
          <w:rFonts w:ascii="Arial" w:hAnsi="Arial"/>
          <w:sz w:val="22"/>
        </w:rPr>
      </w:pPr>
      <w:r w:rsidRPr="00334F23">
        <w:rPr>
          <w:rFonts w:ascii="Arial" w:hAnsi="Arial"/>
          <w:sz w:val="22"/>
        </w:rPr>
        <w:t xml:space="preserve">Complete </w:t>
      </w:r>
      <w:r>
        <w:rPr>
          <w:rFonts w:ascii="Arial" w:hAnsi="Arial"/>
          <w:sz w:val="22"/>
        </w:rPr>
        <w:t xml:space="preserve">the </w:t>
      </w:r>
      <w:r w:rsidRPr="003F6566">
        <w:rPr>
          <w:rFonts w:ascii="Arial" w:hAnsi="Arial"/>
          <w:i/>
          <w:sz w:val="22"/>
        </w:rPr>
        <w:t>Property and Casualty Rate Filing Exhibit</w:t>
      </w:r>
      <w:r w:rsidRPr="00334F23">
        <w:rPr>
          <w:rFonts w:ascii="Arial" w:hAnsi="Arial"/>
          <w:sz w:val="22"/>
        </w:rPr>
        <w:t xml:space="preserve"> for each </w:t>
      </w:r>
      <w:r>
        <w:rPr>
          <w:rFonts w:ascii="Arial" w:hAnsi="Arial"/>
          <w:sz w:val="22"/>
        </w:rPr>
        <w:t>rate filing reported</w:t>
      </w:r>
      <w:r w:rsidRPr="00334F23">
        <w:rPr>
          <w:rFonts w:ascii="Arial" w:hAnsi="Arial"/>
          <w:sz w:val="22"/>
        </w:rPr>
        <w:t xml:space="preserve"> in column (6) of the </w:t>
      </w:r>
      <w:r w:rsidRPr="0015074C">
        <w:rPr>
          <w:rFonts w:ascii="Arial" w:hAnsi="Arial"/>
          <w:i/>
          <w:sz w:val="22"/>
        </w:rPr>
        <w:t>Texas Call for Quarterly Experience</w:t>
      </w:r>
      <w:r>
        <w:rPr>
          <w:rFonts w:ascii="Arial" w:hAnsi="Arial"/>
          <w:sz w:val="22"/>
        </w:rPr>
        <w:t>, Summary Page 1</w:t>
      </w:r>
      <w:r w:rsidRPr="00334F23">
        <w:rPr>
          <w:rFonts w:ascii="Arial" w:hAnsi="Arial"/>
          <w:sz w:val="22"/>
        </w:rPr>
        <w:t>.</w:t>
      </w:r>
    </w:p>
    <w:p w:rsidR="00D51410" w:rsidRPr="00355D16" w:rsidRDefault="00D51410" w:rsidP="00D51410">
      <w:pPr>
        <w:tabs>
          <w:tab w:val="left" w:pos="360"/>
        </w:tabs>
        <w:spacing w:line="240" w:lineRule="atLeast"/>
        <w:ind w:left="360" w:hanging="360"/>
        <w:rPr>
          <w:rFonts w:ascii="Arial" w:hAnsi="Arial"/>
          <w:sz w:val="12"/>
          <w:szCs w:val="12"/>
        </w:rPr>
      </w:pPr>
    </w:p>
    <w:p w:rsidR="00D51410" w:rsidRPr="00334F23" w:rsidRDefault="00D51410" w:rsidP="00D51410">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Column (1) –</w:t>
      </w:r>
      <w:r w:rsidRPr="00334F23">
        <w:rPr>
          <w:rFonts w:ascii="Arial" w:hAnsi="Arial"/>
          <w:sz w:val="22"/>
        </w:rPr>
        <w:t xml:space="preserve"> </w:t>
      </w:r>
      <w:r>
        <w:rPr>
          <w:rFonts w:ascii="Arial" w:hAnsi="Arial"/>
          <w:sz w:val="22"/>
        </w:rPr>
        <w:t>Select the line of business from the drop-down list for each rate filing that was effective in the reporting period</w:t>
      </w:r>
      <w:r w:rsidRPr="00334F23">
        <w:rPr>
          <w:rFonts w:ascii="Arial" w:hAnsi="Arial"/>
          <w:sz w:val="22"/>
        </w:rPr>
        <w:t>.</w:t>
      </w:r>
    </w:p>
    <w:p w:rsidR="00D51410" w:rsidRPr="00334F23" w:rsidRDefault="00D51410" w:rsidP="00D51410">
      <w:pPr>
        <w:tabs>
          <w:tab w:val="left" w:pos="360"/>
        </w:tabs>
        <w:spacing w:line="240" w:lineRule="atLeast"/>
        <w:ind w:left="360" w:hanging="360"/>
        <w:rPr>
          <w:rFonts w:ascii="Arial" w:hAnsi="Arial"/>
          <w:sz w:val="22"/>
        </w:rPr>
      </w:pPr>
    </w:p>
    <w:p w:rsidR="00D51410" w:rsidRPr="00334F23" w:rsidRDefault="00D51410" w:rsidP="00D51410">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(2) –</w:t>
      </w:r>
      <w:r w:rsidRPr="00334F23">
        <w:rPr>
          <w:rFonts w:ascii="Arial" w:hAnsi="Arial"/>
          <w:sz w:val="22"/>
        </w:rPr>
        <w:t xml:space="preserve"> For each rate filing in column (1), note the overall rate change fr</w:t>
      </w:r>
      <w:r>
        <w:rPr>
          <w:rFonts w:ascii="Arial" w:hAnsi="Arial"/>
          <w:sz w:val="22"/>
        </w:rPr>
        <w:t>om the previous filing for the State of Texas.  If your company reduced rates by 5 percent</w:t>
      </w:r>
      <w:r w:rsidRPr="00334F23">
        <w:rPr>
          <w:rFonts w:ascii="Arial" w:hAnsi="Arial"/>
          <w:sz w:val="22"/>
        </w:rPr>
        <w:t xml:space="preserve"> for all policyholders, the column should show (5</w:t>
      </w:r>
      <w:r>
        <w:rPr>
          <w:rFonts w:ascii="Arial" w:hAnsi="Arial"/>
          <w:sz w:val="22"/>
        </w:rPr>
        <w:t>%).  If your company reduced rates 20 percent</w:t>
      </w:r>
      <w:r w:rsidRPr="00334F23">
        <w:rPr>
          <w:rFonts w:ascii="Arial" w:hAnsi="Arial"/>
          <w:sz w:val="22"/>
        </w:rPr>
        <w:t xml:space="preserve"> in Bexar County with no other changes across the state, the overall rate change should be a p</w:t>
      </w:r>
      <w:r>
        <w:rPr>
          <w:rFonts w:ascii="Arial" w:hAnsi="Arial"/>
          <w:sz w:val="22"/>
        </w:rPr>
        <w:t>remium-weighted average of a 20 percent</w:t>
      </w:r>
      <w:r w:rsidRPr="00334F23">
        <w:rPr>
          <w:rFonts w:ascii="Arial" w:hAnsi="Arial"/>
          <w:sz w:val="22"/>
        </w:rPr>
        <w:t xml:space="preserve"> </w:t>
      </w:r>
      <w:r>
        <w:rPr>
          <w:rFonts w:ascii="Arial" w:hAnsi="Arial"/>
          <w:sz w:val="22"/>
        </w:rPr>
        <w:t>reduction in Bexar County and zero percent</w:t>
      </w:r>
      <w:r w:rsidRPr="00334F23">
        <w:rPr>
          <w:rFonts w:ascii="Arial" w:hAnsi="Arial"/>
          <w:sz w:val="22"/>
        </w:rPr>
        <w:t xml:space="preserve"> for all other counties.</w:t>
      </w:r>
      <w:r>
        <w:rPr>
          <w:rFonts w:ascii="Arial" w:hAnsi="Arial"/>
          <w:sz w:val="22"/>
        </w:rPr>
        <w:t xml:space="preserve"> </w:t>
      </w:r>
      <w:r w:rsidRPr="00334F23">
        <w:rPr>
          <w:rFonts w:ascii="Arial" w:hAnsi="Arial"/>
          <w:sz w:val="22"/>
        </w:rPr>
        <w:t xml:space="preserve"> </w:t>
      </w:r>
      <w:r>
        <w:rPr>
          <w:rFonts w:ascii="Arial" w:hAnsi="Arial"/>
          <w:sz w:val="22"/>
        </w:rPr>
        <w:t>You can highlight t</w:t>
      </w:r>
      <w:r w:rsidRPr="00334F23">
        <w:rPr>
          <w:rFonts w:ascii="Arial" w:hAnsi="Arial"/>
          <w:sz w:val="22"/>
        </w:rPr>
        <w:t xml:space="preserve">he (20%) rate change in column (5) </w:t>
      </w:r>
      <w:r>
        <w:rPr>
          <w:rFonts w:ascii="Arial" w:hAnsi="Arial"/>
          <w:sz w:val="22"/>
        </w:rPr>
        <w:t>or</w:t>
      </w:r>
      <w:r w:rsidRPr="00334F23">
        <w:rPr>
          <w:rFonts w:ascii="Arial" w:hAnsi="Arial"/>
          <w:sz w:val="22"/>
        </w:rPr>
        <w:t xml:space="preserve"> (6).</w:t>
      </w:r>
    </w:p>
    <w:p w:rsidR="00D51410" w:rsidRPr="00334F23" w:rsidRDefault="00D51410" w:rsidP="00D51410">
      <w:pPr>
        <w:tabs>
          <w:tab w:val="left" w:pos="360"/>
        </w:tabs>
        <w:spacing w:line="240" w:lineRule="atLeast"/>
        <w:ind w:left="360" w:hanging="360"/>
        <w:rPr>
          <w:rFonts w:ascii="Arial" w:hAnsi="Arial"/>
          <w:sz w:val="22"/>
        </w:rPr>
      </w:pPr>
    </w:p>
    <w:p w:rsidR="00D51410" w:rsidRPr="00334F23" w:rsidRDefault="00D51410" w:rsidP="00D51410">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(3)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new business.</w:t>
      </w:r>
    </w:p>
    <w:p w:rsidR="00D51410" w:rsidRPr="00334F23" w:rsidRDefault="00D51410" w:rsidP="00D51410">
      <w:pPr>
        <w:tabs>
          <w:tab w:val="left" w:pos="360"/>
        </w:tabs>
        <w:spacing w:line="240" w:lineRule="atLeast"/>
        <w:ind w:left="360" w:hanging="360"/>
        <w:rPr>
          <w:rFonts w:ascii="Arial" w:hAnsi="Arial"/>
          <w:sz w:val="22"/>
        </w:rPr>
      </w:pPr>
    </w:p>
    <w:p w:rsidR="00D51410" w:rsidRPr="00334F23" w:rsidRDefault="00D51410" w:rsidP="00D51410">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Column (4)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renewal business.</w:t>
      </w:r>
    </w:p>
    <w:p w:rsidR="00D51410" w:rsidRPr="00334F23" w:rsidRDefault="00D51410" w:rsidP="00D51410">
      <w:pPr>
        <w:tabs>
          <w:tab w:val="left" w:pos="360"/>
        </w:tabs>
        <w:spacing w:line="240" w:lineRule="atLeast"/>
        <w:ind w:left="360" w:hanging="360"/>
        <w:rPr>
          <w:rFonts w:ascii="Arial" w:hAnsi="Arial"/>
          <w:sz w:val="22"/>
        </w:rPr>
      </w:pPr>
    </w:p>
    <w:p w:rsidR="00D51410" w:rsidRPr="00334F23" w:rsidRDefault="00D51410" w:rsidP="00D51410">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(5) –</w:t>
      </w:r>
      <w:r w:rsidRPr="00334F23">
        <w:rPr>
          <w:rFonts w:ascii="Arial" w:hAnsi="Arial"/>
          <w:sz w:val="22"/>
        </w:rPr>
        <w:t xml:space="preserve"> For each rate filing, </w:t>
      </w:r>
      <w:proofErr w:type="gramStart"/>
      <w:r>
        <w:rPr>
          <w:rFonts w:ascii="Arial" w:hAnsi="Arial"/>
          <w:sz w:val="22"/>
        </w:rPr>
        <w:t>select</w:t>
      </w:r>
      <w:proofErr w:type="gramEnd"/>
      <w:r>
        <w:rPr>
          <w:rFonts w:ascii="Arial" w:hAnsi="Arial"/>
          <w:sz w:val="22"/>
        </w:rPr>
        <w:t xml:space="preserve"> the most prevalent significant impact description from the drop-down list.  If more than one description applies, please select the most significant description for column (5) and include the others with additional information provided in column (6).  If none of the provided significant impact descriptions are adequate, please select “Other” and provide supporting details in column (6).</w:t>
      </w:r>
    </w:p>
    <w:p w:rsidR="00D51410" w:rsidRPr="00355D16" w:rsidRDefault="00D51410" w:rsidP="00D51410">
      <w:pPr>
        <w:tabs>
          <w:tab w:val="left" w:pos="360"/>
        </w:tabs>
        <w:spacing w:line="240" w:lineRule="atLeast"/>
        <w:ind w:left="360" w:hanging="360"/>
        <w:rPr>
          <w:rFonts w:ascii="Arial" w:hAnsi="Arial"/>
          <w:sz w:val="12"/>
          <w:szCs w:val="12"/>
        </w:rPr>
      </w:pPr>
    </w:p>
    <w:p w:rsidR="00D51410" w:rsidRPr="00F2719E" w:rsidRDefault="00D51410" w:rsidP="00D51410">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(6) –</w:t>
      </w:r>
      <w:r w:rsidRPr="00334F23">
        <w:rPr>
          <w:rFonts w:ascii="Arial" w:hAnsi="Arial"/>
          <w:sz w:val="22"/>
        </w:rPr>
        <w:t xml:space="preserve"> </w:t>
      </w:r>
      <w:r>
        <w:rPr>
          <w:rFonts w:ascii="Arial" w:hAnsi="Arial"/>
          <w:sz w:val="22"/>
        </w:rPr>
        <w:t>Describe</w:t>
      </w:r>
      <w:r w:rsidRPr="00334F23">
        <w:rPr>
          <w:rFonts w:ascii="Arial" w:hAnsi="Arial"/>
          <w:sz w:val="22"/>
        </w:rPr>
        <w:t xml:space="preserve"> th</w:t>
      </w:r>
      <w:r>
        <w:rPr>
          <w:rFonts w:ascii="Arial" w:hAnsi="Arial"/>
          <w:sz w:val="22"/>
        </w:rPr>
        <w:t>e rate filing.  Note i</w:t>
      </w:r>
      <w:r w:rsidRPr="00334F23">
        <w:rPr>
          <w:rFonts w:ascii="Arial" w:hAnsi="Arial"/>
          <w:sz w:val="22"/>
        </w:rPr>
        <w:t xml:space="preserve">f the rate filing only applies to a </w:t>
      </w:r>
      <w:proofErr w:type="spellStart"/>
      <w:r w:rsidRPr="00334F23">
        <w:rPr>
          <w:rFonts w:ascii="Arial" w:hAnsi="Arial"/>
          <w:sz w:val="22"/>
        </w:rPr>
        <w:t>subline</w:t>
      </w:r>
      <w:proofErr w:type="spellEnd"/>
      <w:r w:rsidRPr="00334F23">
        <w:rPr>
          <w:rFonts w:ascii="Arial" w:hAnsi="Arial"/>
          <w:sz w:val="22"/>
        </w:rPr>
        <w:t xml:space="preserve"> or specific product. </w:t>
      </w:r>
      <w:r>
        <w:rPr>
          <w:rFonts w:ascii="Arial" w:hAnsi="Arial"/>
          <w:sz w:val="22"/>
        </w:rPr>
        <w:t xml:space="preserve"> </w:t>
      </w:r>
      <w:r w:rsidRPr="00334F23">
        <w:rPr>
          <w:rFonts w:ascii="Arial" w:hAnsi="Arial"/>
          <w:sz w:val="22"/>
        </w:rPr>
        <w:t xml:space="preserve">Examples </w:t>
      </w:r>
      <w:r>
        <w:rPr>
          <w:rFonts w:ascii="Arial" w:hAnsi="Arial"/>
          <w:sz w:val="22"/>
        </w:rPr>
        <w:t xml:space="preserve">of </w:t>
      </w:r>
      <w:proofErr w:type="spellStart"/>
      <w:r>
        <w:rPr>
          <w:rFonts w:ascii="Arial" w:hAnsi="Arial"/>
          <w:sz w:val="22"/>
        </w:rPr>
        <w:t>sublines</w:t>
      </w:r>
      <w:proofErr w:type="spellEnd"/>
      <w:r>
        <w:rPr>
          <w:rFonts w:ascii="Arial" w:hAnsi="Arial"/>
          <w:sz w:val="22"/>
        </w:rPr>
        <w:t xml:space="preserve"> or specific products </w:t>
      </w:r>
      <w:r w:rsidRPr="00334F23">
        <w:rPr>
          <w:rFonts w:ascii="Arial" w:hAnsi="Arial"/>
          <w:sz w:val="22"/>
        </w:rPr>
        <w:t>include renters under the</w:t>
      </w:r>
      <w:r>
        <w:rPr>
          <w:rFonts w:ascii="Arial" w:hAnsi="Arial"/>
          <w:sz w:val="22"/>
        </w:rPr>
        <w:t xml:space="preserve"> </w:t>
      </w:r>
      <w:r w:rsidRPr="00334F23">
        <w:rPr>
          <w:rFonts w:ascii="Arial" w:hAnsi="Arial"/>
          <w:sz w:val="22"/>
        </w:rPr>
        <w:t>homeowners multiple peril line of business</w:t>
      </w:r>
      <w:r>
        <w:rPr>
          <w:rFonts w:ascii="Arial" w:hAnsi="Arial"/>
          <w:sz w:val="22"/>
        </w:rPr>
        <w:t>,</w:t>
      </w:r>
      <w:r w:rsidRPr="00334F23">
        <w:rPr>
          <w:rFonts w:ascii="Arial" w:hAnsi="Arial"/>
          <w:sz w:val="22"/>
        </w:rPr>
        <w:t xml:space="preserve"> or motorcycles under the private passenger au</w:t>
      </w:r>
      <w:r>
        <w:rPr>
          <w:rFonts w:ascii="Arial" w:hAnsi="Arial"/>
          <w:sz w:val="22"/>
        </w:rPr>
        <w:t xml:space="preserve">to line of </w:t>
      </w:r>
      <w:r w:rsidRPr="000F7564">
        <w:rPr>
          <w:rFonts w:ascii="Arial" w:hAnsi="Arial"/>
          <w:sz w:val="22"/>
        </w:rPr>
        <w:t>business.  In addition, include comments such as “The filing only applies to select geographical areas of the state or certain classes,” or “The rates are bei</w:t>
      </w:r>
      <w:r>
        <w:rPr>
          <w:rFonts w:ascii="Arial" w:hAnsi="Arial"/>
          <w:sz w:val="22"/>
        </w:rPr>
        <w:t>ng introduced for a new product,</w:t>
      </w:r>
      <w:r w:rsidRPr="000F7564">
        <w:rPr>
          <w:rFonts w:ascii="Arial" w:hAnsi="Arial"/>
          <w:sz w:val="22"/>
        </w:rPr>
        <w:t xml:space="preserve">” </w:t>
      </w:r>
      <w:r>
        <w:rPr>
          <w:rFonts w:ascii="Arial" w:hAnsi="Arial"/>
          <w:sz w:val="22"/>
        </w:rPr>
        <w:t>and so on</w:t>
      </w:r>
      <w:r w:rsidRPr="000F7564">
        <w:rPr>
          <w:rFonts w:ascii="Arial" w:hAnsi="Arial"/>
          <w:sz w:val="22"/>
        </w:rPr>
        <w:t>.</w:t>
      </w:r>
    </w:p>
    <w:p w:rsidR="00D51410" w:rsidRPr="00355D16" w:rsidRDefault="00D51410" w:rsidP="00D51410">
      <w:pPr>
        <w:tabs>
          <w:tab w:val="left" w:pos="360"/>
        </w:tabs>
        <w:spacing w:line="240" w:lineRule="atLeast"/>
        <w:rPr>
          <w:rFonts w:ascii="Arial" w:hAnsi="Arial"/>
          <w:sz w:val="12"/>
          <w:szCs w:val="12"/>
        </w:rPr>
      </w:pPr>
    </w:p>
    <w:p w:rsidR="00D51410" w:rsidRDefault="00D51410" w:rsidP="00D51410">
      <w:pPr>
        <w:tabs>
          <w:tab w:val="left" w:pos="360"/>
        </w:tabs>
        <w:spacing w:line="240" w:lineRule="atLeast"/>
        <w:ind w:left="360" w:hanging="360"/>
        <w:jc w:val="both"/>
        <w:rPr>
          <w:rFonts w:ascii="Arial" w:hAnsi="Arial"/>
          <w:sz w:val="22"/>
        </w:rPr>
      </w:pPr>
      <w:r>
        <w:rPr>
          <w:rFonts w:ascii="Arial" w:hAnsi="Arial"/>
          <w:sz w:val="22"/>
        </w:rPr>
        <w:t>7.</w:t>
      </w:r>
      <w:r>
        <w:rPr>
          <w:rFonts w:ascii="Arial" w:hAnsi="Arial"/>
          <w:sz w:val="22"/>
        </w:rPr>
        <w:tab/>
        <w:t xml:space="preserve">Column (7)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3rd quarter 2012 through 2nd quarter 2013.</w:t>
      </w:r>
    </w:p>
    <w:p w:rsidR="00D51410" w:rsidRPr="00355D16" w:rsidRDefault="00D51410" w:rsidP="00D51410">
      <w:pPr>
        <w:tabs>
          <w:tab w:val="left" w:pos="360"/>
        </w:tabs>
        <w:spacing w:line="240" w:lineRule="atLeast"/>
        <w:jc w:val="both"/>
        <w:rPr>
          <w:rFonts w:ascii="Arial" w:hAnsi="Arial"/>
          <w:sz w:val="12"/>
          <w:szCs w:val="12"/>
        </w:rPr>
      </w:pPr>
    </w:p>
    <w:p w:rsidR="00D51410" w:rsidRDefault="00D51410" w:rsidP="00D51410">
      <w:pPr>
        <w:tabs>
          <w:tab w:val="left" w:pos="360"/>
        </w:tabs>
        <w:spacing w:line="240" w:lineRule="atLeast"/>
        <w:ind w:left="360" w:hanging="360"/>
        <w:jc w:val="both"/>
        <w:rPr>
          <w:rFonts w:ascii="Arial" w:hAnsi="Arial"/>
          <w:sz w:val="22"/>
        </w:rPr>
      </w:pPr>
      <w:r>
        <w:rPr>
          <w:rFonts w:ascii="Arial" w:hAnsi="Arial"/>
          <w:sz w:val="22"/>
        </w:rPr>
        <w:t>8.</w:t>
      </w:r>
      <w:r>
        <w:rPr>
          <w:rFonts w:ascii="Arial" w:hAnsi="Arial"/>
          <w:sz w:val="22"/>
        </w:rPr>
        <w:tab/>
        <w:t xml:space="preserve">Column (8)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3rd quarter 2011 through 2nd quarter 2012.</w:t>
      </w:r>
    </w:p>
    <w:p w:rsidR="00D51410" w:rsidRPr="00355D16" w:rsidRDefault="00D51410" w:rsidP="00D51410">
      <w:pPr>
        <w:tabs>
          <w:tab w:val="left" w:pos="360"/>
        </w:tabs>
        <w:spacing w:line="240" w:lineRule="atLeast"/>
        <w:ind w:left="360" w:hanging="360"/>
        <w:jc w:val="both"/>
        <w:rPr>
          <w:rFonts w:ascii="Arial" w:hAnsi="Arial"/>
          <w:sz w:val="12"/>
          <w:szCs w:val="12"/>
        </w:rPr>
      </w:pPr>
    </w:p>
    <w:p w:rsidR="00D51410" w:rsidRDefault="00D51410" w:rsidP="00D51410">
      <w:pPr>
        <w:tabs>
          <w:tab w:val="left" w:pos="360"/>
        </w:tabs>
        <w:spacing w:line="240" w:lineRule="atLeast"/>
        <w:ind w:left="360" w:hanging="360"/>
        <w:jc w:val="both"/>
        <w:rPr>
          <w:rFonts w:ascii="Arial" w:hAnsi="Arial"/>
          <w:sz w:val="22"/>
        </w:rPr>
      </w:pPr>
      <w:r>
        <w:rPr>
          <w:rFonts w:ascii="Arial" w:hAnsi="Arial"/>
          <w:sz w:val="22"/>
        </w:rPr>
        <w:t>9.</w:t>
      </w:r>
      <w:r>
        <w:rPr>
          <w:rFonts w:ascii="Arial" w:hAnsi="Arial"/>
          <w:sz w:val="22"/>
        </w:rPr>
        <w:tab/>
        <w:t xml:space="preserve">Column (9)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3rd quarter 2010 through 2nd quarter 2011.</w:t>
      </w:r>
    </w:p>
    <w:p w:rsidR="00D51410" w:rsidRPr="00355D16" w:rsidRDefault="00D51410" w:rsidP="00D51410">
      <w:pPr>
        <w:tabs>
          <w:tab w:val="left" w:pos="360"/>
        </w:tabs>
        <w:spacing w:line="240" w:lineRule="atLeast"/>
        <w:ind w:left="360" w:hanging="360"/>
        <w:rPr>
          <w:rFonts w:ascii="Arial" w:hAnsi="Arial"/>
          <w:sz w:val="12"/>
          <w:szCs w:val="12"/>
        </w:rPr>
      </w:pPr>
    </w:p>
    <w:p w:rsidR="00D51410" w:rsidRDefault="00D51410" w:rsidP="00D51410">
      <w:pPr>
        <w:tabs>
          <w:tab w:val="left" w:pos="630"/>
          <w:tab w:val="left" w:pos="4500"/>
        </w:tabs>
        <w:ind w:left="540"/>
        <w:rPr>
          <w:rFonts w:ascii="Arial" w:hAnsi="Arial"/>
          <w:b/>
          <w:sz w:val="22"/>
        </w:rPr>
      </w:pPr>
      <w:r w:rsidRPr="00E6748C">
        <w:rPr>
          <w:rFonts w:ascii="Arial" w:hAnsi="Arial"/>
          <w:b/>
          <w:sz w:val="22"/>
        </w:rPr>
        <w:t>Fax</w:t>
      </w:r>
      <w:r>
        <w:rPr>
          <w:rFonts w:ascii="Arial" w:hAnsi="Arial"/>
          <w:b/>
          <w:sz w:val="22"/>
        </w:rPr>
        <w:t xml:space="preserve"> or mail the signed Affidavit to:</w:t>
      </w:r>
      <w:r w:rsidRPr="006D76D9">
        <w:rPr>
          <w:rFonts w:ascii="Arial" w:hAnsi="Arial"/>
          <w:sz w:val="22"/>
        </w:rPr>
        <w:t xml:space="preserve"> </w:t>
      </w:r>
      <w:r>
        <w:rPr>
          <w:rFonts w:ascii="Arial" w:hAnsi="Arial"/>
          <w:sz w:val="22"/>
        </w:rPr>
        <w:tab/>
      </w:r>
      <w:r w:rsidRPr="00F45D53">
        <w:rPr>
          <w:rFonts w:ascii="Arial" w:hAnsi="Arial"/>
          <w:b/>
          <w:sz w:val="22"/>
        </w:rPr>
        <w:t xml:space="preserve">Direct questions concerning this data call </w:t>
      </w:r>
      <w:r>
        <w:rPr>
          <w:rFonts w:ascii="Arial" w:hAnsi="Arial"/>
          <w:b/>
          <w:sz w:val="22"/>
        </w:rPr>
        <w:t>to:</w:t>
      </w:r>
    </w:p>
    <w:p w:rsidR="00D51410" w:rsidRPr="00355D16" w:rsidRDefault="00D51410" w:rsidP="00D51410">
      <w:pPr>
        <w:tabs>
          <w:tab w:val="left" w:pos="630"/>
          <w:tab w:val="left" w:pos="4500"/>
          <w:tab w:val="left" w:pos="4860"/>
        </w:tabs>
        <w:ind w:left="540"/>
        <w:rPr>
          <w:rFonts w:ascii="Arial" w:hAnsi="Arial"/>
          <w:b/>
          <w:sz w:val="12"/>
          <w:szCs w:val="12"/>
        </w:rPr>
      </w:pPr>
    </w:p>
    <w:p w:rsidR="00D51410" w:rsidRDefault="00D51410" w:rsidP="00D51410">
      <w:pPr>
        <w:tabs>
          <w:tab w:val="left" w:pos="630"/>
          <w:tab w:val="left" w:pos="4500"/>
        </w:tabs>
        <w:ind w:left="540"/>
        <w:rPr>
          <w:rFonts w:ascii="Arial" w:hAnsi="Arial"/>
          <w:sz w:val="22"/>
        </w:rPr>
      </w:pPr>
      <w:r>
        <w:rPr>
          <w:rFonts w:ascii="Arial" w:hAnsi="Arial"/>
          <w:sz w:val="22"/>
        </w:rPr>
        <w:tab/>
        <w:t>Julie Jones</w:t>
      </w:r>
      <w:r>
        <w:rPr>
          <w:rFonts w:ascii="Arial" w:hAnsi="Arial"/>
          <w:sz w:val="22"/>
        </w:rPr>
        <w:tab/>
        <w:t>Julie Jones</w:t>
      </w:r>
    </w:p>
    <w:p w:rsidR="00D51410" w:rsidRDefault="00D51410" w:rsidP="00D51410">
      <w:pPr>
        <w:tabs>
          <w:tab w:val="left" w:pos="630"/>
          <w:tab w:val="left" w:pos="4500"/>
        </w:tabs>
        <w:ind w:left="540"/>
        <w:rPr>
          <w:rFonts w:ascii="Arial" w:hAnsi="Arial"/>
          <w:sz w:val="22"/>
        </w:rPr>
      </w:pPr>
      <w:r>
        <w:rPr>
          <w:rFonts w:ascii="Arial" w:hAnsi="Arial"/>
          <w:sz w:val="22"/>
        </w:rPr>
        <w:tab/>
      </w:r>
      <w:r w:rsidRPr="001D7DC4">
        <w:rPr>
          <w:rFonts w:ascii="Arial" w:hAnsi="Arial"/>
          <w:sz w:val="22"/>
        </w:rPr>
        <w:t>Texas Department of Insurance</w:t>
      </w:r>
      <w:r>
        <w:rPr>
          <w:rFonts w:ascii="Arial" w:hAnsi="Arial"/>
          <w:sz w:val="22"/>
        </w:rPr>
        <w:tab/>
      </w:r>
      <w:r w:rsidRPr="001D7DC4">
        <w:rPr>
          <w:rFonts w:ascii="Arial" w:hAnsi="Arial"/>
          <w:sz w:val="22"/>
        </w:rPr>
        <w:t>Texas Department of Insurance</w:t>
      </w:r>
    </w:p>
    <w:p w:rsidR="00D51410" w:rsidRDefault="00D51410" w:rsidP="00D51410">
      <w:pPr>
        <w:tabs>
          <w:tab w:val="left" w:pos="630"/>
          <w:tab w:val="left" w:pos="4500"/>
        </w:tabs>
        <w:rPr>
          <w:rFonts w:ascii="Arial" w:hAnsi="Arial"/>
          <w:sz w:val="22"/>
        </w:rPr>
      </w:pPr>
      <w:r>
        <w:rPr>
          <w:rFonts w:ascii="Arial" w:hAnsi="Arial"/>
          <w:sz w:val="22"/>
        </w:rPr>
        <w:tab/>
      </w:r>
      <w:r w:rsidRPr="001D7DC4">
        <w:rPr>
          <w:rFonts w:ascii="Arial" w:hAnsi="Arial"/>
          <w:sz w:val="22"/>
        </w:rPr>
        <w:t xml:space="preserve">MC 105-5D </w:t>
      </w:r>
      <w:r>
        <w:rPr>
          <w:rFonts w:ascii="Arial" w:hAnsi="Arial"/>
          <w:sz w:val="22"/>
        </w:rPr>
        <w:tab/>
      </w:r>
      <w:r w:rsidRPr="001D7DC4">
        <w:rPr>
          <w:rFonts w:ascii="Arial" w:hAnsi="Arial"/>
          <w:sz w:val="22"/>
        </w:rPr>
        <w:t>phone</w:t>
      </w:r>
      <w:r>
        <w:rPr>
          <w:rFonts w:ascii="Arial" w:hAnsi="Arial"/>
          <w:sz w:val="22"/>
        </w:rPr>
        <w:t>:</w:t>
      </w:r>
      <w:r w:rsidRPr="001D7DC4">
        <w:rPr>
          <w:rFonts w:ascii="Arial" w:hAnsi="Arial"/>
          <w:sz w:val="22"/>
        </w:rPr>
        <w:t xml:space="preserve"> </w:t>
      </w:r>
      <w:r>
        <w:rPr>
          <w:rFonts w:ascii="Arial" w:hAnsi="Arial"/>
          <w:sz w:val="22"/>
        </w:rPr>
        <w:t xml:space="preserve"> </w:t>
      </w:r>
      <w:r w:rsidRPr="001D7DC4">
        <w:rPr>
          <w:rFonts w:ascii="Arial" w:hAnsi="Arial"/>
          <w:sz w:val="22"/>
        </w:rPr>
        <w:t>512-475-3030</w:t>
      </w:r>
      <w:r>
        <w:rPr>
          <w:rFonts w:ascii="Arial" w:hAnsi="Arial"/>
          <w:sz w:val="22"/>
        </w:rPr>
        <w:t xml:space="preserve"> </w:t>
      </w:r>
    </w:p>
    <w:p w:rsidR="00D51410" w:rsidRDefault="00D51410" w:rsidP="00D51410">
      <w:pPr>
        <w:tabs>
          <w:tab w:val="left" w:pos="630"/>
          <w:tab w:val="left" w:pos="4500"/>
        </w:tabs>
        <w:rPr>
          <w:rFonts w:ascii="Arial" w:hAnsi="Arial"/>
          <w:sz w:val="22"/>
        </w:rPr>
      </w:pPr>
      <w:r>
        <w:rPr>
          <w:rFonts w:ascii="Arial" w:hAnsi="Arial"/>
          <w:sz w:val="22"/>
        </w:rPr>
        <w:tab/>
      </w:r>
      <w:r w:rsidRPr="001D7DC4">
        <w:rPr>
          <w:rFonts w:ascii="Arial" w:hAnsi="Arial"/>
          <w:sz w:val="22"/>
        </w:rPr>
        <w:t>P</w:t>
      </w:r>
      <w:r>
        <w:rPr>
          <w:rFonts w:ascii="Arial" w:hAnsi="Arial"/>
          <w:sz w:val="22"/>
        </w:rPr>
        <w:t>.</w:t>
      </w:r>
      <w:r w:rsidRPr="001D7DC4">
        <w:rPr>
          <w:rFonts w:ascii="Arial" w:hAnsi="Arial"/>
          <w:sz w:val="22"/>
        </w:rPr>
        <w:t>O</w:t>
      </w:r>
      <w:r>
        <w:rPr>
          <w:rFonts w:ascii="Arial" w:hAnsi="Arial"/>
          <w:sz w:val="22"/>
        </w:rPr>
        <w:t>.</w:t>
      </w:r>
      <w:r w:rsidRPr="001D7DC4">
        <w:rPr>
          <w:rFonts w:ascii="Arial" w:hAnsi="Arial"/>
          <w:sz w:val="22"/>
        </w:rPr>
        <w:t xml:space="preserve"> Box 149104 </w:t>
      </w:r>
      <w:r>
        <w:rPr>
          <w:rFonts w:ascii="Arial" w:hAnsi="Arial"/>
          <w:sz w:val="22"/>
        </w:rPr>
        <w:tab/>
      </w:r>
      <w:r>
        <w:rPr>
          <w:rFonts w:ascii="Arial" w:hAnsi="Arial"/>
          <w:sz w:val="22"/>
          <w:lang w:val="fr-FR"/>
        </w:rPr>
        <w:t xml:space="preserve">email:  </w:t>
      </w:r>
      <w:r w:rsidRPr="00355D16">
        <w:rPr>
          <w:rFonts w:ascii="Arial" w:hAnsi="Arial"/>
          <w:sz w:val="22"/>
          <w:lang w:val="fr-FR"/>
        </w:rPr>
        <w:t>julie.jones@tdi.texas.gov</w:t>
      </w:r>
    </w:p>
    <w:p w:rsidR="00D51410" w:rsidRDefault="00D51410" w:rsidP="00D51410">
      <w:pPr>
        <w:tabs>
          <w:tab w:val="left" w:pos="630"/>
          <w:tab w:val="left" w:pos="4500"/>
        </w:tabs>
        <w:rPr>
          <w:rFonts w:ascii="Arial" w:hAnsi="Arial"/>
          <w:sz w:val="22"/>
        </w:rPr>
      </w:pPr>
      <w:r>
        <w:rPr>
          <w:rFonts w:ascii="Arial" w:hAnsi="Arial"/>
          <w:sz w:val="22"/>
          <w:lang w:val="fr-FR"/>
        </w:rPr>
        <w:tab/>
      </w:r>
      <w:r w:rsidRPr="001D7DC4">
        <w:rPr>
          <w:rFonts w:ascii="Arial" w:hAnsi="Arial"/>
          <w:sz w:val="22"/>
        </w:rPr>
        <w:t>Austin, TX 78714-9104</w:t>
      </w:r>
      <w:r>
        <w:rPr>
          <w:rFonts w:ascii="Arial" w:hAnsi="Arial"/>
          <w:sz w:val="22"/>
        </w:rPr>
        <w:tab/>
      </w:r>
    </w:p>
    <w:p w:rsidR="00D51410" w:rsidRDefault="00D51410" w:rsidP="00D51410">
      <w:pPr>
        <w:tabs>
          <w:tab w:val="left" w:pos="630"/>
          <w:tab w:val="left" w:pos="4500"/>
        </w:tabs>
        <w:ind w:left="540"/>
        <w:rPr>
          <w:rFonts w:ascii="Arial" w:hAnsi="Arial"/>
          <w:sz w:val="22"/>
        </w:rPr>
      </w:pPr>
      <w:r>
        <w:rPr>
          <w:rFonts w:ascii="Arial" w:hAnsi="Arial"/>
          <w:sz w:val="22"/>
          <w:lang w:val="fr-FR"/>
        </w:rPr>
        <w:tab/>
      </w:r>
      <w:r w:rsidRPr="00E6748C">
        <w:rPr>
          <w:rFonts w:ascii="Arial" w:hAnsi="Arial"/>
          <w:sz w:val="22"/>
        </w:rPr>
        <w:t>Fax:  512-463-6122</w:t>
      </w:r>
    </w:p>
    <w:p w:rsidR="00D51410" w:rsidRDefault="00D51410" w:rsidP="00D51410">
      <w:pPr>
        <w:tabs>
          <w:tab w:val="left" w:pos="630"/>
          <w:tab w:val="left" w:pos="4500"/>
        </w:tabs>
        <w:ind w:left="540"/>
        <w:rPr>
          <w:rFonts w:ascii="Arial" w:hAnsi="Arial"/>
          <w:sz w:val="22"/>
        </w:rPr>
      </w:pPr>
    </w:p>
    <w:p w:rsidR="00EF78F4" w:rsidRDefault="00D51410" w:rsidP="00D51410">
      <w:pPr>
        <w:tabs>
          <w:tab w:val="left" w:pos="630"/>
          <w:tab w:val="left" w:pos="4500"/>
        </w:tabs>
        <w:ind w:left="540"/>
        <w:jc w:val="center"/>
      </w:pPr>
      <w:proofErr w:type="gramStart"/>
      <w:r w:rsidRPr="0015074C">
        <w:rPr>
          <w:rFonts w:ascii="Arial" w:hAnsi="Arial"/>
          <w:b/>
          <w:i/>
        </w:rPr>
        <w:t xml:space="preserve">The forms for the Quarterly Call for Experience </w:t>
      </w:r>
      <w:proofErr w:type="spellStart"/>
      <w:r w:rsidRPr="0015074C">
        <w:rPr>
          <w:rFonts w:ascii="Arial" w:hAnsi="Arial"/>
          <w:b/>
          <w:i/>
        </w:rPr>
        <w:t>areavailable</w:t>
      </w:r>
      <w:proofErr w:type="spellEnd"/>
      <w:r w:rsidRPr="0015074C">
        <w:rPr>
          <w:rFonts w:ascii="Arial" w:hAnsi="Arial"/>
          <w:b/>
          <w:i/>
        </w:rPr>
        <w:t xml:space="preserve"> via the Internet at www.tdi.texas.go</w:t>
      </w:r>
      <w:r>
        <w:rPr>
          <w:rFonts w:ascii="Arial" w:hAnsi="Arial"/>
          <w:b/>
          <w:i/>
        </w:rPr>
        <w:t>v.</w:t>
      </w:r>
      <w:proofErr w:type="gramEnd"/>
    </w:p>
    <w:sectPr w:rsidR="00EF78F4" w:rsidSect="00D51410">
      <w:pgSz w:w="12240" w:h="15840"/>
      <w:pgMar w:top="108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20"/>
  <w:characterSpacingControl w:val="doNotCompress"/>
  <w:compat/>
  <w:rsids>
    <w:rsidRoot w:val="00D51410"/>
    <w:rsid w:val="00043D9B"/>
    <w:rsid w:val="000F57DE"/>
    <w:rsid w:val="00101B68"/>
    <w:rsid w:val="0014253A"/>
    <w:rsid w:val="001541C1"/>
    <w:rsid w:val="00213AC2"/>
    <w:rsid w:val="002730C5"/>
    <w:rsid w:val="002E0F5B"/>
    <w:rsid w:val="00301CBA"/>
    <w:rsid w:val="00303F7F"/>
    <w:rsid w:val="0030583D"/>
    <w:rsid w:val="0035277A"/>
    <w:rsid w:val="004C5329"/>
    <w:rsid w:val="004C5565"/>
    <w:rsid w:val="00587E55"/>
    <w:rsid w:val="005C6C04"/>
    <w:rsid w:val="005D7B95"/>
    <w:rsid w:val="005E0CE1"/>
    <w:rsid w:val="00661121"/>
    <w:rsid w:val="00685961"/>
    <w:rsid w:val="006E5426"/>
    <w:rsid w:val="006F1F06"/>
    <w:rsid w:val="0073429D"/>
    <w:rsid w:val="007B3A79"/>
    <w:rsid w:val="00857837"/>
    <w:rsid w:val="00871598"/>
    <w:rsid w:val="00AD2985"/>
    <w:rsid w:val="00BF659C"/>
    <w:rsid w:val="00D51410"/>
    <w:rsid w:val="00DA5308"/>
    <w:rsid w:val="00F54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410"/>
    <w:rPr>
      <w:rFonts w:ascii="Times" w:eastAsia="Times New Roman"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C6C04"/>
    <w:pPr>
      <w:framePr w:w="7920" w:h="1980" w:hRule="exact" w:hSpace="180" w:wrap="auto" w:hAnchor="page" w:xAlign="center" w:yAlign="bottom"/>
      <w:ind w:left="2880"/>
    </w:pPr>
    <w:rPr>
      <w:rFonts w:ascii="Arial" w:eastAsiaTheme="majorEastAsia" w:hAnsi="Arial"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411</Words>
  <Characters>2348</Characters>
  <Application>Microsoft Office Word</Application>
  <DocSecurity>0</DocSecurity>
  <Lines>19</Lines>
  <Paragraphs>5</Paragraphs>
  <ScaleCrop>false</ScaleCrop>
  <Company>Texas Department of Insurance</Company>
  <LinksUpToDate>false</LinksUpToDate>
  <CharactersWithSpaces>2754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Ortega</dc:creator>
  <cp:lastModifiedBy> </cp:lastModifiedBy>
  <cp:revision>1</cp:revision>
  <dcterms:created xsi:type="dcterms:W3CDTF">2013-10-03T20:23:00Z</dcterms:created>
  <dcterms:modified xsi:type="dcterms:W3CDTF">2013-10-03T20:24:00Z</dcterms:modified>
</cp:coreProperties>
</file>