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D18" w:rsidRPr="00AF796D" w:rsidRDefault="00915D18" w:rsidP="00830ABD">
      <w:pPr>
        <w:pStyle w:val="Heading1"/>
        <w:rPr>
          <w:rStyle w:val="TitleChar"/>
          <w:rFonts w:cs="Arial"/>
          <w:strike/>
          <w:sz w:val="24"/>
          <w:szCs w:val="24"/>
        </w:rPr>
      </w:pPr>
    </w:p>
    <w:p w:rsidR="00915D18" w:rsidRPr="00E242A8" w:rsidRDefault="00915D18" w:rsidP="00830ABD">
      <w:pPr>
        <w:pStyle w:val="Heading1"/>
      </w:pPr>
    </w:p>
    <w:p w:rsidR="00B179F8" w:rsidRPr="008151D4" w:rsidRDefault="00B179F8" w:rsidP="00830ABD">
      <w:pPr>
        <w:pStyle w:val="Heading1"/>
      </w:pPr>
      <w:r w:rsidRPr="008151D4">
        <w:t>A</w:t>
      </w:r>
      <w:r w:rsidR="001F11DC">
        <w:t>ttachment</w:t>
      </w:r>
      <w:r w:rsidRPr="008151D4">
        <w:t xml:space="preserve"> A</w:t>
      </w:r>
    </w:p>
    <w:p w:rsidR="00B179F8" w:rsidRPr="00657326" w:rsidRDefault="00B179F8" w:rsidP="00830ABD">
      <w:pPr>
        <w:pStyle w:val="Heading1"/>
      </w:pPr>
      <w:r w:rsidRPr="00657326">
        <w:t>House and Senate Bills Relating to</w:t>
      </w:r>
    </w:p>
    <w:p w:rsidR="00B179F8" w:rsidRPr="008151D4" w:rsidRDefault="00657326" w:rsidP="00830ABD">
      <w:pPr>
        <w:pStyle w:val="Heading1"/>
      </w:pPr>
      <w:r>
        <w:t>L</w:t>
      </w:r>
      <w:r w:rsidRPr="00657326">
        <w:t xml:space="preserve">ife, </w:t>
      </w:r>
      <w:r>
        <w:t>A</w:t>
      </w:r>
      <w:r w:rsidRPr="00657326">
        <w:t xml:space="preserve">ccident, or </w:t>
      </w:r>
      <w:r>
        <w:t>H</w:t>
      </w:r>
      <w:r w:rsidRPr="00657326">
        <w:t xml:space="preserve">ealth </w:t>
      </w:r>
      <w:r>
        <w:t>I</w:t>
      </w:r>
      <w:r w:rsidRPr="00657326">
        <w:t xml:space="preserve">nsurers; </w:t>
      </w:r>
      <w:r>
        <w:t>H</w:t>
      </w:r>
      <w:r w:rsidRPr="00657326">
        <w:t xml:space="preserve">ealth </w:t>
      </w:r>
      <w:r>
        <w:t>M</w:t>
      </w:r>
      <w:r w:rsidRPr="00657326">
        <w:t xml:space="preserve">aintenance </w:t>
      </w:r>
      <w:r>
        <w:t>O</w:t>
      </w:r>
      <w:r w:rsidRPr="00657326">
        <w:t>rganizations;</w:t>
      </w:r>
      <w:r w:rsidR="00830ABD">
        <w:t xml:space="preserve"> </w:t>
      </w:r>
      <w:r>
        <w:t>I</w:t>
      </w:r>
      <w:r w:rsidRPr="00657326">
        <w:t xml:space="preserve">ndependent Review </w:t>
      </w:r>
      <w:r>
        <w:t>O</w:t>
      </w:r>
      <w:r w:rsidRPr="00657326">
        <w:t>rganizat</w:t>
      </w:r>
      <w:r w:rsidR="00FB532A">
        <w:t>i</w:t>
      </w:r>
      <w:r w:rsidRPr="00657326">
        <w:t xml:space="preserve">ons; </w:t>
      </w:r>
      <w:r w:rsidR="00A3255C">
        <w:t>I</w:t>
      </w:r>
      <w:r w:rsidRPr="00657326">
        <w:t xml:space="preserve">nsurance Agents; </w:t>
      </w:r>
      <w:r w:rsidR="00A3255C">
        <w:t>M</w:t>
      </w:r>
      <w:r w:rsidRPr="00657326">
        <w:t xml:space="preserve">ultiple </w:t>
      </w:r>
      <w:r w:rsidR="00A3255C">
        <w:t>E</w:t>
      </w:r>
      <w:r w:rsidRPr="00657326">
        <w:t xml:space="preserve">mployer </w:t>
      </w:r>
      <w:r w:rsidR="00A3255C">
        <w:t>W</w:t>
      </w:r>
      <w:r w:rsidRPr="00657326">
        <w:t xml:space="preserve">elfare </w:t>
      </w:r>
      <w:r w:rsidR="00A3255C">
        <w:t>A</w:t>
      </w:r>
      <w:r w:rsidRPr="00657326">
        <w:t xml:space="preserve">rrangements; </w:t>
      </w:r>
      <w:r w:rsidR="00A3255C">
        <w:t>T</w:t>
      </w:r>
      <w:r w:rsidRPr="00657326">
        <w:t xml:space="preserve">hird </w:t>
      </w:r>
      <w:r w:rsidR="00A3255C">
        <w:t>P</w:t>
      </w:r>
      <w:r w:rsidRPr="00657326">
        <w:t xml:space="preserve">arty </w:t>
      </w:r>
      <w:r w:rsidR="00A3255C">
        <w:t>A</w:t>
      </w:r>
      <w:r w:rsidRPr="00657326">
        <w:t xml:space="preserve">dministrators; </w:t>
      </w:r>
      <w:r w:rsidR="00A3255C">
        <w:t>U</w:t>
      </w:r>
      <w:r w:rsidRPr="00657326">
        <w:t xml:space="preserve">tilization </w:t>
      </w:r>
      <w:r w:rsidR="00A3255C">
        <w:t>R</w:t>
      </w:r>
      <w:r w:rsidRPr="00657326">
        <w:t xml:space="preserve">eview </w:t>
      </w:r>
      <w:r w:rsidR="00A3255C">
        <w:t>A</w:t>
      </w:r>
      <w:r w:rsidRPr="00657326">
        <w:t xml:space="preserve">gents; </w:t>
      </w:r>
      <w:proofErr w:type="spellStart"/>
      <w:r w:rsidR="00A3255C">
        <w:t>V</w:t>
      </w:r>
      <w:r w:rsidRPr="00657326">
        <w:t>iatical</w:t>
      </w:r>
      <w:proofErr w:type="spellEnd"/>
      <w:r w:rsidRPr="00657326">
        <w:t xml:space="preserve"> and </w:t>
      </w:r>
      <w:r w:rsidR="00A3255C">
        <w:t>L</w:t>
      </w:r>
      <w:r w:rsidRPr="00657326">
        <w:t xml:space="preserve">ife </w:t>
      </w:r>
      <w:r w:rsidR="00A3255C">
        <w:t>S</w:t>
      </w:r>
      <w:r w:rsidRPr="00657326">
        <w:t xml:space="preserve">ettlement </w:t>
      </w:r>
      <w:r w:rsidR="00A3255C">
        <w:t>P</w:t>
      </w:r>
      <w:r w:rsidRPr="00657326">
        <w:t xml:space="preserve">roviders, </w:t>
      </w:r>
      <w:r w:rsidR="00A3255C">
        <w:t>P</w:t>
      </w:r>
      <w:r w:rsidRPr="00657326">
        <w:t xml:space="preserve">rovider </w:t>
      </w:r>
      <w:r w:rsidR="00A3255C">
        <w:t>R</w:t>
      </w:r>
      <w:r w:rsidRPr="00657326">
        <w:t xml:space="preserve">epresentatives, and </w:t>
      </w:r>
      <w:r w:rsidR="00A3255C">
        <w:t>B</w:t>
      </w:r>
      <w:r w:rsidRPr="00657326">
        <w:t xml:space="preserve">rokers; </w:t>
      </w:r>
      <w:r w:rsidR="00A3255C">
        <w:t>W</w:t>
      </w:r>
      <w:r w:rsidRPr="00657326">
        <w:t xml:space="preserve">orkers’ </w:t>
      </w:r>
      <w:r w:rsidR="00A3255C">
        <w:t>C</w:t>
      </w:r>
      <w:r w:rsidRPr="00657326">
        <w:t xml:space="preserve">ompensation </w:t>
      </w:r>
      <w:r w:rsidR="00A3255C">
        <w:t>H</w:t>
      </w:r>
      <w:r w:rsidRPr="00657326">
        <w:t xml:space="preserve">ealthcare </w:t>
      </w:r>
      <w:r w:rsidR="00A3255C">
        <w:t>N</w:t>
      </w:r>
      <w:r w:rsidRPr="00657326">
        <w:t xml:space="preserve">etworks; and/or </w:t>
      </w:r>
      <w:r w:rsidR="00A3255C">
        <w:t>D</w:t>
      </w:r>
      <w:r w:rsidRPr="00657326">
        <w:t xml:space="preserve">iscount </w:t>
      </w:r>
      <w:r w:rsidR="00A3255C">
        <w:t>H</w:t>
      </w:r>
      <w:r w:rsidRPr="00657326">
        <w:t xml:space="preserve">ealth </w:t>
      </w:r>
      <w:r w:rsidR="00A3255C">
        <w:t>C</w:t>
      </w:r>
      <w:r w:rsidRPr="00657326">
        <w:t xml:space="preserve">are </w:t>
      </w:r>
      <w:r w:rsidR="00A3255C">
        <w:t>P</w:t>
      </w:r>
      <w:r w:rsidRPr="00657326">
        <w:t xml:space="preserve">rogram </w:t>
      </w:r>
      <w:r w:rsidR="00A3255C">
        <w:t>O</w:t>
      </w:r>
      <w:r w:rsidRPr="00657326">
        <w:t>perators.</w:t>
      </w:r>
      <w:r w:rsidR="00B179F8" w:rsidRPr="008151D4">
        <w:t>*</w:t>
      </w:r>
    </w:p>
    <w:p w:rsidR="00B179F8" w:rsidRPr="00E242A8" w:rsidRDefault="00B179F8" w:rsidP="00B179F8">
      <w:pPr>
        <w:tabs>
          <w:tab w:val="left" w:pos="360"/>
          <w:tab w:val="left" w:pos="7290"/>
        </w:tabs>
        <w:spacing w:line="240" w:lineRule="atLeast"/>
        <w:jc w:val="both"/>
        <w:rPr>
          <w:rFonts w:cs="Arial"/>
          <w:b/>
          <w:szCs w:val="24"/>
        </w:rPr>
      </w:pPr>
    </w:p>
    <w:p w:rsidR="00B179F8" w:rsidRPr="00E242A8" w:rsidRDefault="00B179F8" w:rsidP="00B179F8">
      <w:pPr>
        <w:ind w:left="1440" w:hanging="1440"/>
        <w:rPr>
          <w:rFonts w:cs="Arial"/>
          <w:snapToGrid w:val="0"/>
          <w:color w:val="000000"/>
          <w:szCs w:val="24"/>
        </w:rPr>
      </w:pPr>
    </w:p>
    <w:p w:rsidR="00B179F8" w:rsidRPr="00E242A8" w:rsidRDefault="00B179F8" w:rsidP="00830ABD">
      <w:pPr>
        <w:pStyle w:val="Heading2"/>
      </w:pPr>
      <w:r w:rsidRPr="00E242A8">
        <w:t>H</w:t>
      </w:r>
      <w:r w:rsidR="00555422" w:rsidRPr="00E242A8">
        <w:t>ouse</w:t>
      </w:r>
      <w:r w:rsidRPr="00E242A8">
        <w:t xml:space="preserve"> B</w:t>
      </w:r>
      <w:r w:rsidR="00555422" w:rsidRPr="00E242A8">
        <w:t>ills</w:t>
      </w:r>
    </w:p>
    <w:p w:rsidR="00B179F8" w:rsidRPr="00E242A8" w:rsidRDefault="00B179F8" w:rsidP="00B179F8">
      <w:pPr>
        <w:ind w:left="1440" w:hanging="1440"/>
        <w:rPr>
          <w:rFonts w:cs="Arial"/>
          <w:snapToGrid w:val="0"/>
          <w:color w:val="000000"/>
          <w:szCs w:val="24"/>
        </w:rPr>
      </w:pPr>
    </w:p>
    <w:p w:rsidR="005E5F50" w:rsidRPr="00E242A8" w:rsidRDefault="00056927" w:rsidP="00372E03">
      <w:pPr>
        <w:ind w:left="1440" w:hanging="1440"/>
        <w:rPr>
          <w:rFonts w:cs="Arial"/>
          <w:color w:val="auto"/>
        </w:rPr>
      </w:pPr>
      <w:r w:rsidRPr="00052E52">
        <w:rPr>
          <w:rFonts w:cs="Arial"/>
        </w:rPr>
        <w:t>HB0001</w:t>
      </w:r>
      <w:r w:rsidR="00E1156F" w:rsidRPr="00E242A8">
        <w:rPr>
          <w:rStyle w:val="Heading2Char"/>
        </w:rPr>
        <w:tab/>
      </w:r>
      <w:r w:rsidR="00555422" w:rsidRPr="00E242A8">
        <w:rPr>
          <w:rStyle w:val="Emphasis"/>
          <w:rFonts w:cs="Arial"/>
        </w:rPr>
        <w:t xml:space="preserve">Study, </w:t>
      </w:r>
      <w:r w:rsidR="00CB00FA">
        <w:rPr>
          <w:rStyle w:val="Emphasis"/>
          <w:rFonts w:cs="Arial"/>
        </w:rPr>
        <w:t>M</w:t>
      </w:r>
      <w:r w:rsidR="00555422" w:rsidRPr="00E242A8">
        <w:rPr>
          <w:rStyle w:val="Emphasis"/>
          <w:rFonts w:cs="Arial"/>
        </w:rPr>
        <w:t xml:space="preserve">andated </w:t>
      </w:r>
      <w:r w:rsidR="00CB00FA">
        <w:rPr>
          <w:rStyle w:val="Emphasis"/>
          <w:rFonts w:cs="Arial"/>
        </w:rPr>
        <w:t>H</w:t>
      </w:r>
      <w:r w:rsidR="00555422" w:rsidRPr="00E242A8">
        <w:rPr>
          <w:rStyle w:val="Emphasis"/>
          <w:rFonts w:cs="Arial"/>
        </w:rPr>
        <w:t xml:space="preserve">ealth </w:t>
      </w:r>
      <w:r w:rsidR="00CB00FA">
        <w:rPr>
          <w:rStyle w:val="Emphasis"/>
          <w:rFonts w:cs="Arial"/>
        </w:rPr>
        <w:t>B</w:t>
      </w:r>
      <w:r w:rsidR="00555422" w:rsidRPr="00E242A8">
        <w:rPr>
          <w:rStyle w:val="Emphasis"/>
          <w:rFonts w:cs="Arial"/>
        </w:rPr>
        <w:t>enefits --</w:t>
      </w:r>
      <w:r w:rsidR="00555422" w:rsidRPr="00E242A8">
        <w:rPr>
          <w:rFonts w:cs="Arial"/>
        </w:rPr>
        <w:t xml:space="preserve"> HB0001</w:t>
      </w:r>
      <w:r w:rsidR="00BE6D59" w:rsidRPr="00E242A8">
        <w:rPr>
          <w:rFonts w:cs="Arial"/>
        </w:rPr>
        <w:t>, Rider 19,</w:t>
      </w:r>
      <w:r w:rsidR="00555422" w:rsidRPr="00E242A8">
        <w:rPr>
          <w:rFonts w:cs="Arial"/>
        </w:rPr>
        <w:t xml:space="preserve"> requires TDI to analyze the cost to the state of maintaining each of the health benefits </w:t>
      </w:r>
      <w:r w:rsidR="005E5F50">
        <w:rPr>
          <w:rFonts w:cs="Arial"/>
        </w:rPr>
        <w:t>if</w:t>
      </w:r>
      <w:r w:rsidR="005E5F50" w:rsidRPr="00E242A8">
        <w:rPr>
          <w:rFonts w:cs="Arial"/>
        </w:rPr>
        <w:t xml:space="preserve"> required by Texas state statute </w:t>
      </w:r>
      <w:r w:rsidR="005E5F50">
        <w:rPr>
          <w:rFonts w:cs="Arial"/>
        </w:rPr>
        <w:t xml:space="preserve">and if </w:t>
      </w:r>
      <w:r w:rsidR="005E5F50" w:rsidRPr="00E242A8">
        <w:rPr>
          <w:rFonts w:cs="Arial"/>
        </w:rPr>
        <w:t xml:space="preserve">the state will be responsible for paying for such health benefits in a health insurance exchange operating in the state. TDI is required </w:t>
      </w:r>
      <w:r w:rsidR="006A5578">
        <w:rPr>
          <w:rFonts w:cs="Arial"/>
        </w:rPr>
        <w:t xml:space="preserve">to </w:t>
      </w:r>
      <w:r w:rsidR="005E5F50" w:rsidRPr="00E242A8">
        <w:rPr>
          <w:rFonts w:cs="Arial"/>
        </w:rPr>
        <w:t xml:space="preserve">submit a report to the Governor and the Legislative Budget Board </w:t>
      </w:r>
      <w:r w:rsidR="005E5F50">
        <w:rPr>
          <w:rFonts w:cs="Arial"/>
        </w:rPr>
        <w:t xml:space="preserve">not later than </w:t>
      </w:r>
      <w:r w:rsidR="005E5F50" w:rsidRPr="00E242A8">
        <w:rPr>
          <w:rFonts w:cs="Arial"/>
        </w:rPr>
        <w:t>the earlier of 90 days after federal rules are finalized or December 31, 2012. The report must include any rationale for and future costs to the state of maintaining any given mandated health benefits.</w:t>
      </w:r>
    </w:p>
    <w:p w:rsidR="00555422" w:rsidRPr="00E242A8" w:rsidRDefault="00555422" w:rsidP="00831B23">
      <w:pPr>
        <w:ind w:left="1440" w:firstLine="0"/>
        <w:rPr>
          <w:rFonts w:cs="Arial"/>
          <w:color w:val="auto"/>
        </w:rPr>
      </w:pPr>
    </w:p>
    <w:p w:rsidR="00056927" w:rsidRPr="00E242A8" w:rsidRDefault="00555422" w:rsidP="00555422">
      <w:pPr>
        <w:ind w:left="1440" w:firstLine="0"/>
        <w:rPr>
          <w:rFonts w:cs="Arial"/>
        </w:rPr>
      </w:pPr>
      <w:r w:rsidRPr="00E242A8">
        <w:rPr>
          <w:rFonts w:cs="Arial"/>
        </w:rPr>
        <w:t>Effective September 1, 201</w:t>
      </w:r>
      <w:r w:rsidR="00CB075D" w:rsidRPr="00E242A8">
        <w:rPr>
          <w:rFonts w:cs="Arial"/>
        </w:rPr>
        <w:t>1</w:t>
      </w:r>
      <w:r w:rsidRPr="00E242A8">
        <w:rPr>
          <w:rFonts w:cs="Arial"/>
        </w:rPr>
        <w:t>.</w:t>
      </w:r>
    </w:p>
    <w:p w:rsidR="00441031" w:rsidRPr="00E242A8" w:rsidRDefault="00441031" w:rsidP="00555422">
      <w:pPr>
        <w:ind w:left="1440" w:firstLine="0"/>
        <w:rPr>
          <w:rFonts w:cs="Arial"/>
        </w:rPr>
      </w:pPr>
    </w:p>
    <w:p w:rsidR="005C7C42" w:rsidRPr="00E242A8" w:rsidRDefault="008D58AD" w:rsidP="00AA3D41">
      <w:pPr>
        <w:ind w:left="1440" w:hanging="1440"/>
        <w:rPr>
          <w:rFonts w:cs="Arial"/>
        </w:rPr>
      </w:pPr>
      <w:hyperlink r:id="rId8" w:history="1">
        <w:r w:rsidR="00441031" w:rsidRPr="00E242A8">
          <w:rPr>
            <w:rStyle w:val="Hyperlink"/>
            <w:rFonts w:cs="Arial"/>
          </w:rPr>
          <w:t>HB0300</w:t>
        </w:r>
      </w:hyperlink>
      <w:r w:rsidR="00441031" w:rsidRPr="00E242A8">
        <w:rPr>
          <w:rFonts w:cs="Arial"/>
          <w:szCs w:val="24"/>
        </w:rPr>
        <w:tab/>
      </w:r>
      <w:r w:rsidR="00CB075D" w:rsidRPr="00E242A8">
        <w:rPr>
          <w:rStyle w:val="Emphasis"/>
          <w:rFonts w:cs="Arial"/>
        </w:rPr>
        <w:t xml:space="preserve">Privacy </w:t>
      </w:r>
      <w:r w:rsidR="006A4BEA">
        <w:rPr>
          <w:rStyle w:val="Emphasis"/>
          <w:rFonts w:cs="Arial"/>
        </w:rPr>
        <w:t>o</w:t>
      </w:r>
      <w:r w:rsidR="006A4BEA" w:rsidRPr="00E242A8">
        <w:rPr>
          <w:rStyle w:val="Emphasis"/>
          <w:rFonts w:cs="Arial"/>
        </w:rPr>
        <w:t xml:space="preserve">f </w:t>
      </w:r>
      <w:r w:rsidR="00CB00FA">
        <w:rPr>
          <w:rStyle w:val="Emphasis"/>
          <w:rFonts w:cs="Arial"/>
        </w:rPr>
        <w:t>H</w:t>
      </w:r>
      <w:r w:rsidR="00CB075D" w:rsidRPr="00E242A8">
        <w:rPr>
          <w:rStyle w:val="Emphasis"/>
          <w:rFonts w:cs="Arial"/>
        </w:rPr>
        <w:t xml:space="preserve">ealth </w:t>
      </w:r>
      <w:r w:rsidR="00CB00FA">
        <w:rPr>
          <w:rStyle w:val="Emphasis"/>
          <w:rFonts w:cs="Arial"/>
        </w:rPr>
        <w:t>I</w:t>
      </w:r>
      <w:r w:rsidR="00CB075D" w:rsidRPr="00E242A8">
        <w:rPr>
          <w:rStyle w:val="Emphasis"/>
          <w:rFonts w:cs="Arial"/>
        </w:rPr>
        <w:t xml:space="preserve">nformation </w:t>
      </w:r>
      <w:r w:rsidR="00343E4D">
        <w:rPr>
          <w:rStyle w:val="Emphasis"/>
          <w:rFonts w:cs="Arial"/>
        </w:rPr>
        <w:t>–</w:t>
      </w:r>
      <w:r w:rsidR="00CB075D" w:rsidRPr="00E242A8">
        <w:rPr>
          <w:rFonts w:cs="Arial"/>
        </w:rPr>
        <w:t xml:space="preserve"> </w:t>
      </w:r>
      <w:r w:rsidR="00365B31" w:rsidRPr="00E242A8">
        <w:rPr>
          <w:rFonts w:cs="Arial"/>
        </w:rPr>
        <w:t>HB</w:t>
      </w:r>
      <w:r w:rsidR="00343E4D">
        <w:rPr>
          <w:rFonts w:cs="Arial"/>
        </w:rPr>
        <w:t>0</w:t>
      </w:r>
      <w:r w:rsidR="00365B31" w:rsidRPr="00E242A8">
        <w:rPr>
          <w:rFonts w:cs="Arial"/>
        </w:rPr>
        <w:t>300</w:t>
      </w:r>
      <w:r w:rsidR="00C3400D" w:rsidRPr="00E242A8">
        <w:rPr>
          <w:rFonts w:cs="Arial"/>
        </w:rPr>
        <w:t xml:space="preserve"> requires a covered entity under </w:t>
      </w:r>
      <w:r w:rsidR="00BE6D59" w:rsidRPr="00E242A8">
        <w:rPr>
          <w:rFonts w:cs="Arial"/>
        </w:rPr>
        <w:t xml:space="preserve">the Texas </w:t>
      </w:r>
      <w:r w:rsidR="00C3400D" w:rsidRPr="00E242A8">
        <w:rPr>
          <w:rFonts w:cs="Arial"/>
        </w:rPr>
        <w:t>Insurance Code</w:t>
      </w:r>
      <w:r w:rsidR="0054336C">
        <w:rPr>
          <w:rFonts w:cs="Arial"/>
        </w:rPr>
        <w:t xml:space="preserve"> </w:t>
      </w:r>
      <w:r w:rsidR="00C3400D" w:rsidRPr="00E242A8">
        <w:rPr>
          <w:rFonts w:cs="Arial"/>
        </w:rPr>
        <w:t xml:space="preserve">Chapter 602 to comply with Health and Safety Code, Chapter 181, Subchapter D, which prohibits the </w:t>
      </w:r>
      <w:r w:rsidR="00290A09" w:rsidRPr="00E242A8">
        <w:rPr>
          <w:rFonts w:cs="Arial"/>
        </w:rPr>
        <w:t>disclosure of</w:t>
      </w:r>
      <w:r w:rsidR="00C3400D" w:rsidRPr="00E242A8">
        <w:rPr>
          <w:rFonts w:cs="Arial"/>
        </w:rPr>
        <w:t xml:space="preserve"> protected health information</w:t>
      </w:r>
      <w:r w:rsidR="00987B5C" w:rsidRPr="00E242A8">
        <w:rPr>
          <w:rFonts w:cs="Arial"/>
        </w:rPr>
        <w:t xml:space="preserve"> to any other person in exchange for direct or indirect remuneration,</w:t>
      </w:r>
      <w:r w:rsidR="005C7C42" w:rsidRPr="00E242A8">
        <w:rPr>
          <w:rFonts w:cs="Arial"/>
        </w:rPr>
        <w:t xml:space="preserve"> </w:t>
      </w:r>
      <w:r w:rsidR="005429AB" w:rsidRPr="00E242A8">
        <w:rPr>
          <w:rFonts w:cs="Arial"/>
        </w:rPr>
        <w:t>with exceptions</w:t>
      </w:r>
      <w:r w:rsidR="00997765">
        <w:rPr>
          <w:rFonts w:cs="Arial"/>
        </w:rPr>
        <w:t>. It</w:t>
      </w:r>
      <w:r w:rsidR="00687015">
        <w:rPr>
          <w:rFonts w:cs="Arial"/>
        </w:rPr>
        <w:t xml:space="preserve"> </w:t>
      </w:r>
      <w:r w:rsidR="00687015">
        <w:t>sets forth administrative, civil, and criminal penalties</w:t>
      </w:r>
      <w:r w:rsidR="00997765">
        <w:t xml:space="preserve"> for disclosure or sale of protected health information or other violations of </w:t>
      </w:r>
      <w:r w:rsidR="00F73F28">
        <w:t xml:space="preserve">Health and Safety Code </w:t>
      </w:r>
      <w:r w:rsidR="00997765">
        <w:t>Chapter 181 regarding Medical Records Privacy</w:t>
      </w:r>
      <w:r w:rsidR="005429AB" w:rsidRPr="00E242A8">
        <w:rPr>
          <w:rFonts w:cs="Arial"/>
        </w:rPr>
        <w:t xml:space="preserve">. </w:t>
      </w:r>
      <w:r w:rsidR="00997765">
        <w:rPr>
          <w:color w:val="000000"/>
        </w:rPr>
        <w:t>The bill also requires</w:t>
      </w:r>
      <w:r w:rsidR="009C191B">
        <w:rPr>
          <w:color w:val="000000"/>
        </w:rPr>
        <w:t xml:space="preserve"> a</w:t>
      </w:r>
      <w:r w:rsidR="00997765">
        <w:rPr>
          <w:color w:val="000000"/>
        </w:rPr>
        <w:t xml:space="preserve"> training</w:t>
      </w:r>
      <w:r w:rsidR="009C191B">
        <w:rPr>
          <w:color w:val="000000"/>
        </w:rPr>
        <w:t xml:space="preserve"> program be established by a covered entity </w:t>
      </w:r>
      <w:r w:rsidR="00997765">
        <w:t xml:space="preserve">for </w:t>
      </w:r>
      <w:r w:rsidR="009C191B">
        <w:t>its</w:t>
      </w:r>
      <w:r w:rsidR="00997765" w:rsidRPr="00DF67BD">
        <w:t xml:space="preserve"> employees</w:t>
      </w:r>
      <w:r w:rsidR="00997765">
        <w:t xml:space="preserve"> </w:t>
      </w:r>
      <w:r w:rsidR="00997765" w:rsidRPr="00DF67BD">
        <w:t>regarding the state and federal law</w:t>
      </w:r>
      <w:r w:rsidR="00997765">
        <w:t>s</w:t>
      </w:r>
      <w:r w:rsidR="00997765" w:rsidRPr="00DF67BD">
        <w:t xml:space="preserve"> concerning protected health information</w:t>
      </w:r>
      <w:r w:rsidR="009C191B">
        <w:t>. It</w:t>
      </w:r>
      <w:r w:rsidR="00997765">
        <w:t xml:space="preserve"> also contains provisions for consumer access to electronic health records, if used by a health care provider. </w:t>
      </w:r>
      <w:r w:rsidR="00AA3D41" w:rsidRPr="00E242A8">
        <w:rPr>
          <w:rFonts w:cs="Arial"/>
        </w:rPr>
        <w:t>If the protected health information is subject to electronic disclosure</w:t>
      </w:r>
      <w:r w:rsidR="005429AB" w:rsidRPr="00E242A8">
        <w:rPr>
          <w:rFonts w:cs="Arial"/>
        </w:rPr>
        <w:t>,</w:t>
      </w:r>
      <w:r w:rsidR="00AA3D41" w:rsidRPr="00E242A8">
        <w:rPr>
          <w:rFonts w:cs="Arial"/>
        </w:rPr>
        <w:t xml:space="preserve"> then notice and authorization is required. The </w:t>
      </w:r>
      <w:r w:rsidR="005429AB" w:rsidRPr="00E242A8">
        <w:rPr>
          <w:rFonts w:cs="Arial"/>
        </w:rPr>
        <w:t>bill</w:t>
      </w:r>
      <w:r w:rsidR="00AA3D41" w:rsidRPr="00E242A8">
        <w:rPr>
          <w:rFonts w:cs="Arial"/>
        </w:rPr>
        <w:t xml:space="preserve"> provide</w:t>
      </w:r>
      <w:r w:rsidR="005429AB" w:rsidRPr="00E242A8">
        <w:rPr>
          <w:rFonts w:cs="Arial"/>
        </w:rPr>
        <w:t>s</w:t>
      </w:r>
      <w:r w:rsidR="00AA3D41" w:rsidRPr="00E242A8">
        <w:rPr>
          <w:rFonts w:cs="Arial"/>
        </w:rPr>
        <w:t xml:space="preserve"> three methods of posting written notice so affected individuals </w:t>
      </w:r>
      <w:proofErr w:type="gramStart"/>
      <w:r w:rsidR="00AA3D41" w:rsidRPr="00E242A8">
        <w:rPr>
          <w:rFonts w:cs="Arial"/>
        </w:rPr>
        <w:t>are</w:t>
      </w:r>
      <w:proofErr w:type="gramEnd"/>
      <w:r w:rsidR="00AA3D41" w:rsidRPr="00E242A8">
        <w:rPr>
          <w:rFonts w:cs="Arial"/>
        </w:rPr>
        <w:t xml:space="preserve"> informed. The </w:t>
      </w:r>
      <w:r w:rsidR="005C7C42" w:rsidRPr="00E242A8">
        <w:rPr>
          <w:rFonts w:cs="Arial"/>
        </w:rPr>
        <w:t>bill also requires a covered entity</w:t>
      </w:r>
      <w:r w:rsidR="00C3400D" w:rsidRPr="00E242A8">
        <w:rPr>
          <w:rFonts w:cs="Arial"/>
        </w:rPr>
        <w:t xml:space="preserve"> to comply with the standards</w:t>
      </w:r>
      <w:r w:rsidR="00AA3D41" w:rsidRPr="00E242A8">
        <w:rPr>
          <w:rFonts w:cs="Arial"/>
        </w:rPr>
        <w:t xml:space="preserve"> for electronic sharing that are</w:t>
      </w:r>
      <w:r w:rsidR="00C3400D" w:rsidRPr="00E242A8">
        <w:rPr>
          <w:rFonts w:cs="Arial"/>
        </w:rPr>
        <w:t xml:space="preserve"> adopted under </w:t>
      </w:r>
      <w:r w:rsidR="00684017" w:rsidRPr="00E242A8">
        <w:rPr>
          <w:rFonts w:cs="Arial"/>
        </w:rPr>
        <w:t>Health and Safety Code</w:t>
      </w:r>
      <w:r w:rsidR="00C3400D" w:rsidRPr="00E242A8">
        <w:rPr>
          <w:rFonts w:cs="Arial"/>
        </w:rPr>
        <w:t xml:space="preserve"> Section 182.108</w:t>
      </w:r>
      <w:r w:rsidR="005429AB" w:rsidRPr="00E242A8">
        <w:rPr>
          <w:rFonts w:cs="Arial"/>
        </w:rPr>
        <w:t>, which is required to be adopted by January 1, 2013</w:t>
      </w:r>
      <w:r w:rsidR="005C7C42" w:rsidRPr="00E242A8">
        <w:rPr>
          <w:rFonts w:cs="Arial"/>
        </w:rPr>
        <w:t>.</w:t>
      </w:r>
    </w:p>
    <w:p w:rsidR="00C447C0" w:rsidRDefault="00C447C0" w:rsidP="00831B23">
      <w:pPr>
        <w:ind w:left="1440" w:firstLine="0"/>
        <w:rPr>
          <w:rFonts w:cs="Arial"/>
        </w:rPr>
      </w:pPr>
    </w:p>
    <w:p w:rsidR="00CB075D" w:rsidRDefault="00CB075D" w:rsidP="00831B23">
      <w:pPr>
        <w:ind w:left="1440" w:firstLine="0"/>
        <w:rPr>
          <w:rFonts w:cs="Arial"/>
        </w:rPr>
      </w:pPr>
      <w:r w:rsidRPr="00E242A8">
        <w:rPr>
          <w:rFonts w:cs="Arial"/>
        </w:rPr>
        <w:lastRenderedPageBreak/>
        <w:t>Effective September 1, 2012</w:t>
      </w:r>
      <w:r w:rsidR="00997765">
        <w:rPr>
          <w:rFonts w:cs="Arial"/>
        </w:rPr>
        <w:t xml:space="preserve">; </w:t>
      </w:r>
      <w:r w:rsidR="00997765">
        <w:t xml:space="preserve">applies only to conduct or offenses that occur on or after </w:t>
      </w:r>
      <w:r w:rsidR="00997765" w:rsidRPr="00E242A8">
        <w:rPr>
          <w:rFonts w:cs="Arial"/>
        </w:rPr>
        <w:t>September 1, 2012</w:t>
      </w:r>
      <w:r w:rsidRPr="00E242A8">
        <w:rPr>
          <w:rFonts w:cs="Arial"/>
        </w:rPr>
        <w:t>.</w:t>
      </w:r>
    </w:p>
    <w:p w:rsidR="00056927" w:rsidRPr="00E242A8" w:rsidRDefault="00056927" w:rsidP="00B179F8">
      <w:pPr>
        <w:ind w:left="1440" w:hanging="1440"/>
        <w:rPr>
          <w:rFonts w:cs="Arial"/>
        </w:rPr>
      </w:pPr>
    </w:p>
    <w:p w:rsidR="00D111AD" w:rsidRPr="00E242A8" w:rsidRDefault="008D58AD" w:rsidP="00B179F8">
      <w:pPr>
        <w:ind w:left="1440" w:hanging="1440"/>
        <w:rPr>
          <w:rFonts w:cs="Arial"/>
        </w:rPr>
      </w:pPr>
      <w:hyperlink r:id="rId9" w:history="1">
        <w:r w:rsidR="003B28AC" w:rsidRPr="00E242A8">
          <w:rPr>
            <w:rStyle w:val="Hyperlink"/>
            <w:rFonts w:cs="Arial"/>
            <w:snapToGrid w:val="0"/>
            <w:szCs w:val="24"/>
          </w:rPr>
          <w:t>HB0438</w:t>
        </w:r>
      </w:hyperlink>
      <w:r w:rsidR="00B179F8" w:rsidRPr="00E242A8">
        <w:rPr>
          <w:rFonts w:cs="Arial"/>
          <w:snapToGrid w:val="0"/>
          <w:color w:val="000000"/>
          <w:szCs w:val="24"/>
        </w:rPr>
        <w:tab/>
      </w:r>
      <w:r w:rsidR="00CD3462">
        <w:rPr>
          <w:rStyle w:val="Emphasis"/>
          <w:rFonts w:cs="Arial"/>
        </w:rPr>
        <w:t xml:space="preserve">Coverage </w:t>
      </w:r>
      <w:r w:rsidR="006A4BEA">
        <w:rPr>
          <w:rStyle w:val="Emphasis"/>
          <w:rFonts w:cs="Arial"/>
        </w:rPr>
        <w:t>o</w:t>
      </w:r>
      <w:r w:rsidR="00CD3462">
        <w:rPr>
          <w:rStyle w:val="Emphasis"/>
          <w:rFonts w:cs="Arial"/>
        </w:rPr>
        <w:t xml:space="preserve">f </w:t>
      </w:r>
      <w:r w:rsidR="00CB00FA">
        <w:rPr>
          <w:rStyle w:val="Emphasis"/>
          <w:rFonts w:cs="Arial"/>
        </w:rPr>
        <w:t>O</w:t>
      </w:r>
      <w:r w:rsidR="003B28AC" w:rsidRPr="00E242A8">
        <w:rPr>
          <w:rStyle w:val="Emphasis"/>
          <w:rFonts w:cs="Arial"/>
        </w:rPr>
        <w:t xml:space="preserve">rally </w:t>
      </w:r>
      <w:r w:rsidR="00CB00FA">
        <w:rPr>
          <w:rStyle w:val="Emphasis"/>
          <w:rFonts w:cs="Arial"/>
        </w:rPr>
        <w:t>A</w:t>
      </w:r>
      <w:r w:rsidR="003B28AC" w:rsidRPr="00E242A8">
        <w:rPr>
          <w:rStyle w:val="Emphasis"/>
          <w:rFonts w:cs="Arial"/>
        </w:rPr>
        <w:t xml:space="preserve">dministered </w:t>
      </w:r>
      <w:r w:rsidR="00CB00FA">
        <w:rPr>
          <w:rStyle w:val="Emphasis"/>
          <w:rFonts w:cs="Arial"/>
        </w:rPr>
        <w:t>A</w:t>
      </w:r>
      <w:r w:rsidR="003B28AC" w:rsidRPr="00E242A8">
        <w:rPr>
          <w:rStyle w:val="Emphasis"/>
          <w:rFonts w:cs="Arial"/>
        </w:rPr>
        <w:t xml:space="preserve">nticancer </w:t>
      </w:r>
      <w:r w:rsidR="00CB00FA">
        <w:rPr>
          <w:rStyle w:val="Emphasis"/>
          <w:rFonts w:cs="Arial"/>
        </w:rPr>
        <w:t>M</w:t>
      </w:r>
      <w:r w:rsidR="003B28AC" w:rsidRPr="00E242A8">
        <w:rPr>
          <w:rStyle w:val="Emphasis"/>
          <w:rFonts w:cs="Arial"/>
        </w:rPr>
        <w:t>edications</w:t>
      </w:r>
      <w:r w:rsidR="00B179F8" w:rsidRPr="00E242A8">
        <w:rPr>
          <w:rStyle w:val="Emphasis"/>
          <w:rFonts w:cs="Arial"/>
        </w:rPr>
        <w:t xml:space="preserve"> </w:t>
      </w:r>
      <w:r w:rsidR="003B28AC" w:rsidRPr="00E242A8">
        <w:rPr>
          <w:rStyle w:val="Emphasis"/>
          <w:rFonts w:cs="Arial"/>
        </w:rPr>
        <w:t>--</w:t>
      </w:r>
      <w:r w:rsidR="00B179F8" w:rsidRPr="00E242A8">
        <w:rPr>
          <w:rFonts w:cs="Arial"/>
          <w:b/>
          <w:snapToGrid w:val="0"/>
          <w:color w:val="000000"/>
          <w:szCs w:val="24"/>
        </w:rPr>
        <w:t xml:space="preserve"> </w:t>
      </w:r>
      <w:r w:rsidR="003B28AC" w:rsidRPr="00E242A8">
        <w:rPr>
          <w:rFonts w:cs="Arial"/>
        </w:rPr>
        <w:t>HB0438</w:t>
      </w:r>
      <w:r w:rsidR="00B179F8" w:rsidRPr="00E242A8">
        <w:rPr>
          <w:rFonts w:cs="Arial"/>
        </w:rPr>
        <w:t xml:space="preserve"> </w:t>
      </w:r>
      <w:r w:rsidR="00D111AD" w:rsidRPr="00E242A8">
        <w:rPr>
          <w:rFonts w:cs="Arial"/>
        </w:rPr>
        <w:t xml:space="preserve">requires </w:t>
      </w:r>
      <w:r w:rsidR="005E5F50">
        <w:rPr>
          <w:rFonts w:cs="Arial"/>
        </w:rPr>
        <w:t xml:space="preserve">specifically enumerated </w:t>
      </w:r>
      <w:r w:rsidR="00D111AD" w:rsidRPr="00E242A8">
        <w:rPr>
          <w:rFonts w:cs="Arial"/>
        </w:rPr>
        <w:t>health benefit plans that provide coverage for cancer treatment to provide coverage for prescribed orally administered anticancer medication on the same basis it provides coverage for intravenously administered anticancer medication. A health benefit plan may require prior authorization for the anticancer medication.</w:t>
      </w:r>
      <w:r w:rsidR="006A6D43">
        <w:rPr>
          <w:rFonts w:cs="Arial"/>
        </w:rPr>
        <w:t xml:space="preserve"> The bill restricts health benefit plans from re-classifying anticancer medications or increasing out-of-pocket expenses unless applied to the majority of comparable medical or pharmaceutical benefits under the plan. It does not prohibit increasing cost-sharing for all benefits, including anticancer treatments.</w:t>
      </w:r>
    </w:p>
    <w:p w:rsidR="00D111AD" w:rsidRPr="00E242A8" w:rsidRDefault="00D111AD" w:rsidP="00C447C0">
      <w:pPr>
        <w:ind w:left="1440" w:firstLine="0"/>
        <w:rPr>
          <w:rFonts w:cs="Arial"/>
        </w:rPr>
      </w:pPr>
    </w:p>
    <w:p w:rsidR="00B179F8" w:rsidRPr="00E242A8" w:rsidRDefault="000F3DBC" w:rsidP="00D111AD">
      <w:pPr>
        <w:ind w:left="1440" w:firstLine="0"/>
        <w:rPr>
          <w:rFonts w:cs="Arial"/>
          <w:snapToGrid w:val="0"/>
          <w:color w:val="000000"/>
          <w:szCs w:val="24"/>
        </w:rPr>
      </w:pPr>
      <w:r w:rsidRPr="00E242A8">
        <w:rPr>
          <w:rFonts w:cs="Arial"/>
        </w:rPr>
        <w:t>Effective September 1, 2011</w:t>
      </w:r>
      <w:r w:rsidR="00D32F40" w:rsidRPr="00E242A8">
        <w:rPr>
          <w:rFonts w:cs="Arial"/>
        </w:rPr>
        <w:t>; a</w:t>
      </w:r>
      <w:r w:rsidR="00D111AD" w:rsidRPr="00E242A8">
        <w:rPr>
          <w:rFonts w:cs="Arial"/>
        </w:rPr>
        <w:t xml:space="preserve">pplies only to a health benefit plan that is delivered, issued for delivery, or renewed on or after </w:t>
      </w:r>
      <w:r w:rsidR="00516D47" w:rsidRPr="00E242A8">
        <w:rPr>
          <w:rFonts w:cs="Arial"/>
        </w:rPr>
        <w:t>J</w:t>
      </w:r>
      <w:r w:rsidR="00D111AD" w:rsidRPr="00E242A8">
        <w:rPr>
          <w:rFonts w:cs="Arial"/>
        </w:rPr>
        <w:t>an</w:t>
      </w:r>
      <w:r w:rsidR="00516D47" w:rsidRPr="00E242A8">
        <w:rPr>
          <w:rFonts w:cs="Arial"/>
        </w:rPr>
        <w:t>u</w:t>
      </w:r>
      <w:r w:rsidR="00D111AD" w:rsidRPr="00E242A8">
        <w:rPr>
          <w:rFonts w:cs="Arial"/>
        </w:rPr>
        <w:t>ary</w:t>
      </w:r>
      <w:r w:rsidR="00516D47" w:rsidRPr="00E242A8">
        <w:rPr>
          <w:rFonts w:cs="Arial"/>
        </w:rPr>
        <w:t xml:space="preserve"> </w:t>
      </w:r>
      <w:r w:rsidR="005772A1">
        <w:rPr>
          <w:rFonts w:cs="Arial"/>
        </w:rPr>
        <w:t>1, 2012.</w:t>
      </w:r>
    </w:p>
    <w:p w:rsidR="00112A37" w:rsidRPr="00E242A8" w:rsidRDefault="00112A37" w:rsidP="00C447C0">
      <w:pPr>
        <w:ind w:left="1440" w:firstLine="0"/>
        <w:rPr>
          <w:rFonts w:cs="Arial"/>
          <w:snapToGrid w:val="0"/>
          <w:color w:val="000000"/>
          <w:szCs w:val="24"/>
        </w:rPr>
      </w:pPr>
    </w:p>
    <w:p w:rsidR="00B92362" w:rsidRPr="00E242A8" w:rsidRDefault="008D58AD" w:rsidP="00B92362">
      <w:pPr>
        <w:ind w:left="1440" w:hanging="1440"/>
        <w:rPr>
          <w:rFonts w:cs="Arial"/>
          <w:snapToGrid w:val="0"/>
          <w:color w:val="000000"/>
          <w:szCs w:val="24"/>
        </w:rPr>
      </w:pPr>
      <w:hyperlink r:id="rId10" w:history="1">
        <w:r w:rsidR="00112A37" w:rsidRPr="00E242A8">
          <w:rPr>
            <w:rStyle w:val="Hyperlink"/>
            <w:rFonts w:cs="Arial"/>
            <w:snapToGrid w:val="0"/>
            <w:szCs w:val="24"/>
          </w:rPr>
          <w:t>HB1032</w:t>
        </w:r>
      </w:hyperlink>
      <w:r w:rsidR="00112A37" w:rsidRPr="00E242A8">
        <w:rPr>
          <w:rFonts w:cs="Arial"/>
          <w:snapToGrid w:val="0"/>
          <w:color w:val="000000"/>
          <w:szCs w:val="24"/>
        </w:rPr>
        <w:tab/>
      </w:r>
      <w:r w:rsidR="00CD3462">
        <w:rPr>
          <w:rStyle w:val="Emphasis"/>
          <w:rFonts w:cs="Arial"/>
        </w:rPr>
        <w:t xml:space="preserve">Annuity </w:t>
      </w:r>
      <w:r w:rsidR="00CB00FA">
        <w:rPr>
          <w:rStyle w:val="Emphasis"/>
          <w:rFonts w:cs="Arial"/>
        </w:rPr>
        <w:t>R</w:t>
      </w:r>
      <w:r w:rsidR="00112A37" w:rsidRPr="00E242A8">
        <w:rPr>
          <w:rStyle w:val="Emphasis"/>
          <w:rFonts w:cs="Arial"/>
        </w:rPr>
        <w:t xml:space="preserve">escission </w:t>
      </w:r>
      <w:r w:rsidR="00CB00FA">
        <w:rPr>
          <w:rStyle w:val="Emphasis"/>
          <w:rFonts w:cs="Arial"/>
        </w:rPr>
        <w:t>P</w:t>
      </w:r>
      <w:r w:rsidR="00112A37" w:rsidRPr="00E242A8">
        <w:rPr>
          <w:rStyle w:val="Emphasis"/>
          <w:rFonts w:cs="Arial"/>
        </w:rPr>
        <w:t>eriod</w:t>
      </w:r>
      <w:r w:rsidR="00CD3462">
        <w:rPr>
          <w:rStyle w:val="Emphasis"/>
          <w:rFonts w:cs="Arial"/>
        </w:rPr>
        <w:t>s</w:t>
      </w:r>
      <w:r w:rsidR="00112A37" w:rsidRPr="00E242A8">
        <w:rPr>
          <w:rStyle w:val="Emphasis"/>
          <w:rFonts w:cs="Arial"/>
        </w:rPr>
        <w:t xml:space="preserve"> </w:t>
      </w:r>
      <w:r w:rsidR="000C2AAF" w:rsidRPr="00E242A8">
        <w:rPr>
          <w:rStyle w:val="Emphasis"/>
          <w:rFonts w:cs="Arial"/>
        </w:rPr>
        <w:t>--</w:t>
      </w:r>
      <w:r w:rsidR="00112A37" w:rsidRPr="00E242A8">
        <w:rPr>
          <w:rFonts w:cs="Arial"/>
          <w:snapToGrid w:val="0"/>
          <w:color w:val="000000"/>
          <w:szCs w:val="24"/>
        </w:rPr>
        <w:t xml:space="preserve"> HB1032 </w:t>
      </w:r>
      <w:r w:rsidR="000F0BAC" w:rsidRPr="00E242A8">
        <w:rPr>
          <w:rFonts w:cs="Arial"/>
          <w:snapToGrid w:val="0"/>
          <w:color w:val="000000"/>
          <w:szCs w:val="24"/>
        </w:rPr>
        <w:t>creates a free look period for purchasers of fixed</w:t>
      </w:r>
      <w:r w:rsidR="006A6D43">
        <w:rPr>
          <w:rFonts w:cs="Arial"/>
          <w:snapToGrid w:val="0"/>
          <w:color w:val="000000"/>
          <w:szCs w:val="24"/>
        </w:rPr>
        <w:t>, variable, or modified guaranteed a</w:t>
      </w:r>
      <w:r w:rsidR="000F0BAC" w:rsidRPr="00E242A8">
        <w:rPr>
          <w:rFonts w:cs="Arial"/>
          <w:snapToGrid w:val="0"/>
          <w:color w:val="000000"/>
          <w:szCs w:val="24"/>
        </w:rPr>
        <w:t>nnuities</w:t>
      </w:r>
      <w:r w:rsidR="00C66008" w:rsidRPr="00E242A8">
        <w:rPr>
          <w:rFonts w:cs="Arial"/>
          <w:snapToGrid w:val="0"/>
          <w:color w:val="000000"/>
          <w:szCs w:val="24"/>
        </w:rPr>
        <w:t xml:space="preserve"> of at least </w:t>
      </w:r>
      <w:r w:rsidR="00111DCD">
        <w:rPr>
          <w:rFonts w:cs="Arial"/>
          <w:snapToGrid w:val="0"/>
          <w:color w:val="000000"/>
          <w:szCs w:val="24"/>
        </w:rPr>
        <w:t>twenty</w:t>
      </w:r>
      <w:r w:rsidR="00C66008" w:rsidRPr="00E242A8">
        <w:rPr>
          <w:rFonts w:cs="Arial"/>
          <w:snapToGrid w:val="0"/>
          <w:color w:val="000000"/>
          <w:szCs w:val="24"/>
        </w:rPr>
        <w:t xml:space="preserve"> day</w:t>
      </w:r>
      <w:r w:rsidR="000F0BAC" w:rsidRPr="00E242A8">
        <w:rPr>
          <w:rFonts w:cs="Arial"/>
          <w:snapToGrid w:val="0"/>
          <w:color w:val="000000"/>
          <w:szCs w:val="24"/>
        </w:rPr>
        <w:t>s</w:t>
      </w:r>
      <w:r w:rsidR="00C66008" w:rsidRPr="00E242A8">
        <w:rPr>
          <w:rFonts w:cs="Arial"/>
          <w:snapToGrid w:val="0"/>
          <w:color w:val="000000"/>
          <w:szCs w:val="24"/>
        </w:rPr>
        <w:t xml:space="preserve"> after the delivery of the contract</w:t>
      </w:r>
      <w:r w:rsidR="006A6D43">
        <w:rPr>
          <w:rFonts w:cs="Arial"/>
          <w:snapToGrid w:val="0"/>
          <w:color w:val="000000"/>
          <w:szCs w:val="24"/>
        </w:rPr>
        <w:t>. A fixed annuity must allow</w:t>
      </w:r>
      <w:r w:rsidR="00C66008" w:rsidRPr="00E242A8">
        <w:rPr>
          <w:rFonts w:cs="Arial"/>
          <w:snapToGrid w:val="0"/>
          <w:color w:val="000000"/>
          <w:szCs w:val="24"/>
        </w:rPr>
        <w:t xml:space="preserve"> the purchaser to rescind the contract and receive an unconditi</w:t>
      </w:r>
      <w:r w:rsidR="005E5F50">
        <w:rPr>
          <w:rFonts w:cs="Arial"/>
          <w:snapToGrid w:val="0"/>
          <w:color w:val="000000"/>
          <w:szCs w:val="24"/>
        </w:rPr>
        <w:t xml:space="preserve">onal refund of the premiums </w:t>
      </w:r>
      <w:r w:rsidR="005E5F50" w:rsidRPr="005E5F50">
        <w:rPr>
          <w:rFonts w:cs="Arial"/>
          <w:snapToGrid w:val="0"/>
          <w:color w:val="000000"/>
          <w:szCs w:val="24"/>
        </w:rPr>
        <w:t xml:space="preserve">paid, including any contract </w:t>
      </w:r>
      <w:r w:rsidR="00C66008" w:rsidRPr="00E242A8">
        <w:rPr>
          <w:rFonts w:cs="Arial"/>
          <w:snapToGrid w:val="0"/>
          <w:color w:val="000000"/>
          <w:szCs w:val="24"/>
        </w:rPr>
        <w:t>fees or charges. A variable or modified guaranteed annuity contract</w:t>
      </w:r>
      <w:r w:rsidR="00B92362" w:rsidRPr="00E242A8">
        <w:rPr>
          <w:rFonts w:cs="Arial"/>
          <w:snapToGrid w:val="0"/>
          <w:color w:val="000000"/>
          <w:szCs w:val="24"/>
        </w:rPr>
        <w:t xml:space="preserve"> </w:t>
      </w:r>
      <w:r w:rsidR="000F0BAC" w:rsidRPr="00E242A8">
        <w:rPr>
          <w:rFonts w:cs="Arial"/>
          <w:snapToGrid w:val="0"/>
          <w:color w:val="000000"/>
          <w:szCs w:val="24"/>
        </w:rPr>
        <w:t xml:space="preserve">must </w:t>
      </w:r>
      <w:r w:rsidR="006A6D43">
        <w:rPr>
          <w:rFonts w:cs="Arial"/>
          <w:snapToGrid w:val="0"/>
          <w:color w:val="000000"/>
          <w:szCs w:val="24"/>
        </w:rPr>
        <w:t>allow</w:t>
      </w:r>
      <w:r w:rsidR="00C66008" w:rsidRPr="00E242A8">
        <w:rPr>
          <w:rFonts w:cs="Arial"/>
          <w:snapToGrid w:val="0"/>
          <w:color w:val="000000"/>
          <w:szCs w:val="24"/>
        </w:rPr>
        <w:t xml:space="preserve"> the purchaser to rescind the contract and receive an unconditional refund of the </w:t>
      </w:r>
      <w:r w:rsidR="00B92362" w:rsidRPr="00E242A8">
        <w:rPr>
          <w:rFonts w:cs="Arial"/>
          <w:snapToGrid w:val="0"/>
          <w:color w:val="000000"/>
          <w:szCs w:val="24"/>
        </w:rPr>
        <w:t>cash surrender value</w:t>
      </w:r>
      <w:r w:rsidR="00C66008" w:rsidRPr="00E242A8">
        <w:rPr>
          <w:rFonts w:cs="Arial"/>
          <w:snapToGrid w:val="0"/>
          <w:color w:val="000000"/>
          <w:szCs w:val="24"/>
        </w:rPr>
        <w:t xml:space="preserve"> plus an</w:t>
      </w:r>
      <w:r w:rsidR="00B92362" w:rsidRPr="00E242A8">
        <w:rPr>
          <w:rFonts w:cs="Arial"/>
          <w:snapToGrid w:val="0"/>
          <w:color w:val="000000"/>
          <w:szCs w:val="24"/>
        </w:rPr>
        <w:t>y</w:t>
      </w:r>
      <w:r w:rsidR="00C66008" w:rsidRPr="00E242A8">
        <w:rPr>
          <w:rFonts w:cs="Arial"/>
          <w:snapToGrid w:val="0"/>
          <w:color w:val="000000"/>
          <w:szCs w:val="24"/>
        </w:rPr>
        <w:t xml:space="preserve"> fees or charges.</w:t>
      </w:r>
      <w:r w:rsidR="00111DCD">
        <w:rPr>
          <w:rFonts w:cs="Arial"/>
          <w:snapToGrid w:val="0"/>
          <w:color w:val="000000"/>
          <w:szCs w:val="24"/>
        </w:rPr>
        <w:t xml:space="preserve"> </w:t>
      </w:r>
      <w:r w:rsidR="00B92362" w:rsidRPr="00E242A8">
        <w:rPr>
          <w:rFonts w:cs="Arial"/>
          <w:snapToGrid w:val="0"/>
          <w:color w:val="000000"/>
          <w:szCs w:val="24"/>
        </w:rPr>
        <w:t>A variable or modified guaranteed annuity contract is not required to provide a rescission period if the prospective owner is an accredited investor.</w:t>
      </w:r>
    </w:p>
    <w:p w:rsidR="00B92362" w:rsidRPr="00E242A8" w:rsidRDefault="00B92362" w:rsidP="00C447C0">
      <w:pPr>
        <w:ind w:left="1440" w:firstLine="0"/>
        <w:rPr>
          <w:rFonts w:cs="Arial"/>
          <w:snapToGrid w:val="0"/>
          <w:color w:val="000000"/>
          <w:szCs w:val="24"/>
        </w:rPr>
      </w:pPr>
    </w:p>
    <w:p w:rsidR="00B92362" w:rsidRPr="00E242A8" w:rsidRDefault="00B92362" w:rsidP="00B92362">
      <w:pPr>
        <w:ind w:left="1440" w:firstLine="0"/>
        <w:rPr>
          <w:rFonts w:cs="Arial"/>
          <w:snapToGrid w:val="0"/>
          <w:color w:val="000000"/>
          <w:szCs w:val="24"/>
        </w:rPr>
      </w:pPr>
      <w:r w:rsidRPr="00E242A8">
        <w:rPr>
          <w:rFonts w:cs="Arial"/>
          <w:snapToGrid w:val="0"/>
          <w:color w:val="000000"/>
          <w:szCs w:val="24"/>
        </w:rPr>
        <w:t>Effective September 1, 2011</w:t>
      </w:r>
      <w:r w:rsidR="00D32F40" w:rsidRPr="00E242A8">
        <w:rPr>
          <w:rFonts w:cs="Arial"/>
          <w:snapToGrid w:val="0"/>
          <w:color w:val="000000"/>
          <w:szCs w:val="24"/>
        </w:rPr>
        <w:t>; a</w:t>
      </w:r>
      <w:r w:rsidRPr="00E242A8">
        <w:rPr>
          <w:rFonts w:cs="Arial"/>
          <w:snapToGrid w:val="0"/>
          <w:color w:val="000000"/>
          <w:szCs w:val="24"/>
        </w:rPr>
        <w:t>pplies only to an annuity contract delivered or issued for delivery on or after January 1, 2012.</w:t>
      </w:r>
    </w:p>
    <w:p w:rsidR="00B92362" w:rsidRPr="00E242A8" w:rsidRDefault="00B92362" w:rsidP="00B92362">
      <w:pPr>
        <w:ind w:left="1440" w:firstLine="0"/>
        <w:rPr>
          <w:rFonts w:cs="Arial"/>
          <w:snapToGrid w:val="0"/>
          <w:color w:val="000000"/>
          <w:szCs w:val="24"/>
        </w:rPr>
      </w:pPr>
    </w:p>
    <w:p w:rsidR="00D01834" w:rsidRPr="00E242A8" w:rsidRDefault="008D58AD" w:rsidP="00D01834">
      <w:pPr>
        <w:ind w:left="1440" w:hanging="1440"/>
        <w:rPr>
          <w:rFonts w:cs="Arial"/>
        </w:rPr>
      </w:pPr>
      <w:hyperlink r:id="rId11" w:history="1">
        <w:r w:rsidR="00B92362" w:rsidRPr="00E242A8">
          <w:rPr>
            <w:rStyle w:val="Hyperlink"/>
            <w:rFonts w:cs="Arial"/>
            <w:snapToGrid w:val="0"/>
            <w:szCs w:val="24"/>
          </w:rPr>
          <w:t>HB1405</w:t>
        </w:r>
      </w:hyperlink>
      <w:r w:rsidR="00B92362" w:rsidRPr="00E242A8">
        <w:rPr>
          <w:rFonts w:cs="Arial"/>
          <w:snapToGrid w:val="0"/>
          <w:color w:val="000000"/>
          <w:szCs w:val="24"/>
        </w:rPr>
        <w:tab/>
      </w:r>
      <w:r w:rsidR="00D924B0" w:rsidRPr="00D924B0">
        <w:rPr>
          <w:rStyle w:val="Emphasis"/>
        </w:rPr>
        <w:t xml:space="preserve">Drug </w:t>
      </w:r>
      <w:r w:rsidR="00CB00FA">
        <w:rPr>
          <w:rStyle w:val="Emphasis"/>
          <w:rFonts w:cs="Arial"/>
        </w:rPr>
        <w:t>F</w:t>
      </w:r>
      <w:r w:rsidR="00B92362" w:rsidRPr="00E242A8">
        <w:rPr>
          <w:rStyle w:val="Emphasis"/>
          <w:rFonts w:cs="Arial"/>
        </w:rPr>
        <w:t>ormulary</w:t>
      </w:r>
      <w:r w:rsidR="00CD3462">
        <w:rPr>
          <w:rStyle w:val="Emphasis"/>
          <w:rFonts w:cs="Arial"/>
        </w:rPr>
        <w:t xml:space="preserve"> </w:t>
      </w:r>
      <w:r w:rsidR="00CB00FA">
        <w:rPr>
          <w:rStyle w:val="Emphasis"/>
          <w:rFonts w:cs="Arial"/>
        </w:rPr>
        <w:t>C</w:t>
      </w:r>
      <w:r w:rsidR="00CD3462">
        <w:rPr>
          <w:rStyle w:val="Emphasis"/>
          <w:rFonts w:cs="Arial"/>
        </w:rPr>
        <w:t>hanges</w:t>
      </w:r>
      <w:r w:rsidR="00B92362" w:rsidRPr="00E242A8">
        <w:rPr>
          <w:rStyle w:val="Emphasis"/>
          <w:rFonts w:cs="Arial"/>
        </w:rPr>
        <w:t xml:space="preserve"> --</w:t>
      </w:r>
      <w:r w:rsidR="00B92362" w:rsidRPr="00E242A8">
        <w:rPr>
          <w:rFonts w:cs="Arial"/>
        </w:rPr>
        <w:t xml:space="preserve"> </w:t>
      </w:r>
      <w:r w:rsidR="00D01834" w:rsidRPr="00E242A8">
        <w:rPr>
          <w:rFonts w:cs="Arial"/>
        </w:rPr>
        <w:t xml:space="preserve">HB1405 extends </w:t>
      </w:r>
      <w:r w:rsidR="00934923">
        <w:rPr>
          <w:rFonts w:cs="Arial"/>
        </w:rPr>
        <w:t>regulations on the use of drug</w:t>
      </w:r>
      <w:r w:rsidR="00D01834" w:rsidRPr="00E242A8">
        <w:rPr>
          <w:rFonts w:cs="Arial"/>
        </w:rPr>
        <w:t xml:space="preserve"> formular</w:t>
      </w:r>
      <w:r w:rsidR="00934923">
        <w:rPr>
          <w:rFonts w:cs="Arial"/>
        </w:rPr>
        <w:t>ies</w:t>
      </w:r>
      <w:r w:rsidR="00D01834" w:rsidRPr="00E242A8">
        <w:rPr>
          <w:rFonts w:cs="Arial"/>
        </w:rPr>
        <w:t xml:space="preserve"> to</w:t>
      </w:r>
      <w:r w:rsidR="006A6D43">
        <w:rPr>
          <w:rFonts w:cs="Arial"/>
        </w:rPr>
        <w:t xml:space="preserve"> include</w:t>
      </w:r>
      <w:r w:rsidR="00D01834" w:rsidRPr="00E242A8">
        <w:rPr>
          <w:rFonts w:cs="Arial"/>
        </w:rPr>
        <w:t xml:space="preserve"> individual </w:t>
      </w:r>
      <w:r w:rsidR="006A6D43">
        <w:rPr>
          <w:rFonts w:cs="Arial"/>
        </w:rPr>
        <w:t xml:space="preserve">plans </w:t>
      </w:r>
      <w:r w:rsidR="00D01834" w:rsidRPr="00E242A8">
        <w:rPr>
          <w:rFonts w:cs="Arial"/>
        </w:rPr>
        <w:t xml:space="preserve">and </w:t>
      </w:r>
      <w:r w:rsidR="00934923">
        <w:rPr>
          <w:rFonts w:cs="Arial"/>
        </w:rPr>
        <w:t xml:space="preserve">small </w:t>
      </w:r>
      <w:r w:rsidR="00D01834" w:rsidRPr="00E242A8">
        <w:rPr>
          <w:rFonts w:cs="Arial"/>
        </w:rPr>
        <w:t xml:space="preserve">employer </w:t>
      </w:r>
      <w:r w:rsidR="006A6D43">
        <w:rPr>
          <w:rFonts w:cs="Arial"/>
        </w:rPr>
        <w:t>groups</w:t>
      </w:r>
      <w:r w:rsidR="004E3D62" w:rsidRPr="00E242A8">
        <w:rPr>
          <w:rFonts w:cs="Arial"/>
        </w:rPr>
        <w:t xml:space="preserve">. </w:t>
      </w:r>
      <w:r w:rsidR="00775FDC" w:rsidRPr="00E242A8">
        <w:rPr>
          <w:rFonts w:cs="Arial"/>
        </w:rPr>
        <w:t>The bill provides an exception for</w:t>
      </w:r>
      <w:r w:rsidR="00D01834" w:rsidRPr="00E242A8">
        <w:rPr>
          <w:rFonts w:cs="Arial"/>
        </w:rPr>
        <w:t xml:space="preserve"> </w:t>
      </w:r>
      <w:r w:rsidR="00111DCD">
        <w:rPr>
          <w:rFonts w:cs="Arial"/>
        </w:rPr>
        <w:t xml:space="preserve">the </w:t>
      </w:r>
      <w:r w:rsidR="00D01834" w:rsidRPr="00E242A8">
        <w:rPr>
          <w:rFonts w:cs="Arial"/>
        </w:rPr>
        <w:t>C</w:t>
      </w:r>
      <w:r w:rsidR="00111DCD">
        <w:rPr>
          <w:rFonts w:cs="Arial"/>
        </w:rPr>
        <w:t xml:space="preserve">hildren’s </w:t>
      </w:r>
      <w:r w:rsidR="00D01834" w:rsidRPr="00E242A8">
        <w:rPr>
          <w:rFonts w:cs="Arial"/>
        </w:rPr>
        <w:t>H</w:t>
      </w:r>
      <w:r w:rsidR="00111DCD">
        <w:rPr>
          <w:rFonts w:cs="Arial"/>
        </w:rPr>
        <w:t xml:space="preserve">ealth </w:t>
      </w:r>
      <w:r w:rsidR="00D01834" w:rsidRPr="00E242A8">
        <w:rPr>
          <w:rFonts w:cs="Arial"/>
        </w:rPr>
        <w:t>I</w:t>
      </w:r>
      <w:r w:rsidR="00111DCD">
        <w:rPr>
          <w:rFonts w:cs="Arial"/>
        </w:rPr>
        <w:t xml:space="preserve">nsurance </w:t>
      </w:r>
      <w:r w:rsidR="00D01834" w:rsidRPr="00E242A8">
        <w:rPr>
          <w:rFonts w:cs="Arial"/>
        </w:rPr>
        <w:t>P</w:t>
      </w:r>
      <w:r w:rsidR="00111DCD">
        <w:rPr>
          <w:rFonts w:cs="Arial"/>
        </w:rPr>
        <w:t xml:space="preserve">rogram </w:t>
      </w:r>
      <w:r w:rsidR="002053C3">
        <w:rPr>
          <w:rFonts w:cs="Arial"/>
        </w:rPr>
        <w:t xml:space="preserve">(CHIP) </w:t>
      </w:r>
      <w:r w:rsidR="00775FDC" w:rsidRPr="00E242A8">
        <w:rPr>
          <w:rFonts w:cs="Arial"/>
        </w:rPr>
        <w:t>and Medicaid</w:t>
      </w:r>
      <w:r w:rsidR="00D01834" w:rsidRPr="00E242A8">
        <w:rPr>
          <w:rFonts w:cs="Arial"/>
        </w:rPr>
        <w:t xml:space="preserve">. </w:t>
      </w:r>
      <w:r w:rsidR="00E97435">
        <w:rPr>
          <w:rFonts w:cs="Arial"/>
        </w:rPr>
        <w:t>T</w:t>
      </w:r>
      <w:r w:rsidR="00D01834" w:rsidRPr="00E242A8">
        <w:rPr>
          <w:rFonts w:cs="Arial"/>
        </w:rPr>
        <w:t xml:space="preserve">he </w:t>
      </w:r>
      <w:r w:rsidR="00934923">
        <w:rPr>
          <w:rFonts w:cs="Arial"/>
        </w:rPr>
        <w:t xml:space="preserve">bill also creates a 60-day notice requirement </w:t>
      </w:r>
      <w:r w:rsidR="004E1CFB">
        <w:rPr>
          <w:rFonts w:cs="Arial"/>
        </w:rPr>
        <w:t>for</w:t>
      </w:r>
      <w:r w:rsidR="00934923">
        <w:rPr>
          <w:rFonts w:cs="Arial"/>
        </w:rPr>
        <w:t xml:space="preserve"> modifications of</w:t>
      </w:r>
      <w:r w:rsidR="00997BCB" w:rsidRPr="00E242A8">
        <w:rPr>
          <w:rFonts w:cs="Arial"/>
        </w:rPr>
        <w:t xml:space="preserve"> drug coverage under certain conditions</w:t>
      </w:r>
      <w:r w:rsidR="00934923">
        <w:rPr>
          <w:rFonts w:cs="Arial"/>
        </w:rPr>
        <w:t xml:space="preserve"> to be sent to all plan sponsors and enrollees and to </w:t>
      </w:r>
      <w:r w:rsidR="00D50884">
        <w:rPr>
          <w:rFonts w:cs="Arial"/>
        </w:rPr>
        <w:t>TDI</w:t>
      </w:r>
      <w:r w:rsidR="00D01834" w:rsidRPr="00E242A8">
        <w:rPr>
          <w:rFonts w:cs="Arial"/>
        </w:rPr>
        <w:t xml:space="preserve">. </w:t>
      </w:r>
      <w:r w:rsidR="00997BCB" w:rsidRPr="00E242A8">
        <w:rPr>
          <w:rFonts w:cs="Arial"/>
        </w:rPr>
        <w:t xml:space="preserve">The bill specifies the types of modifications that require the notifications and allows the health benefit plan to </w:t>
      </w:r>
      <w:r w:rsidR="00D01834" w:rsidRPr="00E242A8">
        <w:rPr>
          <w:rFonts w:cs="Arial"/>
        </w:rPr>
        <w:t>offer an enrollee the option of receiving notifications by e-mail.</w:t>
      </w:r>
      <w:r w:rsidR="00830ABD">
        <w:rPr>
          <w:rFonts w:cs="Arial"/>
        </w:rPr>
        <w:t xml:space="preserve"> </w:t>
      </w:r>
    </w:p>
    <w:p w:rsidR="00997BCB" w:rsidRPr="00E242A8" w:rsidRDefault="00997BCB" w:rsidP="00C447C0">
      <w:pPr>
        <w:ind w:left="1440" w:firstLine="0"/>
        <w:rPr>
          <w:rFonts w:cs="Arial"/>
        </w:rPr>
      </w:pPr>
    </w:p>
    <w:p w:rsidR="00997BCB" w:rsidRPr="00E242A8" w:rsidRDefault="00997BCB" w:rsidP="00997BCB">
      <w:pPr>
        <w:ind w:left="1440" w:firstLine="0"/>
        <w:rPr>
          <w:rFonts w:cs="Arial"/>
        </w:rPr>
      </w:pPr>
      <w:r w:rsidRPr="00E242A8">
        <w:rPr>
          <w:rFonts w:cs="Arial"/>
        </w:rPr>
        <w:t>Effective September 1, 2011</w:t>
      </w:r>
      <w:r w:rsidR="00D32F40" w:rsidRPr="00E242A8">
        <w:rPr>
          <w:rFonts w:cs="Arial"/>
        </w:rPr>
        <w:t>; a</w:t>
      </w:r>
      <w:r w:rsidRPr="00E242A8">
        <w:rPr>
          <w:rFonts w:cs="Arial"/>
        </w:rPr>
        <w:t>pplies only to a health benefit plan delivered, issued for delivery, or renewed on or after January 1, 2012.</w:t>
      </w:r>
    </w:p>
    <w:p w:rsidR="000457AB" w:rsidRPr="00E242A8" w:rsidRDefault="000457AB" w:rsidP="00997BCB">
      <w:pPr>
        <w:ind w:left="1440" w:firstLine="0"/>
        <w:rPr>
          <w:rFonts w:cs="Arial"/>
        </w:rPr>
      </w:pPr>
    </w:p>
    <w:p w:rsidR="005772A1" w:rsidRPr="00E242A8" w:rsidRDefault="008D58AD" w:rsidP="00E97435">
      <w:pPr>
        <w:ind w:left="1440" w:hanging="1440"/>
        <w:rPr>
          <w:rFonts w:cs="Arial"/>
        </w:rPr>
      </w:pPr>
      <w:hyperlink r:id="rId12" w:history="1">
        <w:r w:rsidR="000457AB" w:rsidRPr="00E242A8">
          <w:rPr>
            <w:rStyle w:val="Hyperlink"/>
            <w:rFonts w:cs="Arial"/>
          </w:rPr>
          <w:t>HB1674</w:t>
        </w:r>
      </w:hyperlink>
      <w:r w:rsidR="000457AB" w:rsidRPr="00E242A8">
        <w:rPr>
          <w:rStyle w:val="Hyperlink"/>
          <w:rFonts w:cs="Arial"/>
          <w:u w:val="none"/>
        </w:rPr>
        <w:tab/>
      </w:r>
      <w:r w:rsidR="00874C1B" w:rsidRPr="00E242A8">
        <w:rPr>
          <w:rStyle w:val="Emphasis"/>
          <w:rFonts w:cs="Arial"/>
        </w:rPr>
        <w:t xml:space="preserve">Child </w:t>
      </w:r>
      <w:r w:rsidR="00CB00FA">
        <w:rPr>
          <w:rStyle w:val="Emphasis"/>
          <w:rFonts w:cs="Arial"/>
        </w:rPr>
        <w:t>S</w:t>
      </w:r>
      <w:r w:rsidR="00874C1B" w:rsidRPr="00E242A8">
        <w:rPr>
          <w:rStyle w:val="Emphasis"/>
          <w:rFonts w:cs="Arial"/>
        </w:rPr>
        <w:t xml:space="preserve">upport </w:t>
      </w:r>
      <w:r w:rsidR="00CB00FA">
        <w:rPr>
          <w:rStyle w:val="Emphasis"/>
          <w:rFonts w:cs="Arial"/>
        </w:rPr>
        <w:t>L</w:t>
      </w:r>
      <w:r w:rsidR="00874C1B" w:rsidRPr="00E242A8">
        <w:rPr>
          <w:rStyle w:val="Emphasis"/>
          <w:rFonts w:cs="Arial"/>
        </w:rPr>
        <w:t>ien</w:t>
      </w:r>
      <w:r w:rsidR="00CD3462">
        <w:rPr>
          <w:rStyle w:val="Emphasis"/>
          <w:rFonts w:cs="Arial"/>
        </w:rPr>
        <w:t>s</w:t>
      </w:r>
      <w:r w:rsidR="00874C1B" w:rsidRPr="00E242A8">
        <w:rPr>
          <w:rStyle w:val="Emphasis"/>
          <w:rFonts w:cs="Arial"/>
        </w:rPr>
        <w:t xml:space="preserve"> </w:t>
      </w:r>
      <w:r w:rsidR="00767A90" w:rsidRPr="00E242A8">
        <w:rPr>
          <w:rStyle w:val="Emphasis"/>
          <w:rFonts w:cs="Arial"/>
        </w:rPr>
        <w:t>--</w:t>
      </w:r>
      <w:r w:rsidR="00874C1B" w:rsidRPr="00E242A8">
        <w:rPr>
          <w:rStyle w:val="Hyperlink"/>
          <w:rFonts w:cs="Arial"/>
          <w:color w:val="auto"/>
          <w:u w:val="none"/>
        </w:rPr>
        <w:t xml:space="preserve"> </w:t>
      </w:r>
      <w:r w:rsidR="00874C1B" w:rsidRPr="00E242A8">
        <w:rPr>
          <w:rFonts w:cs="Arial"/>
        </w:rPr>
        <w:t xml:space="preserve">HB1674 provides </w:t>
      </w:r>
      <w:r w:rsidR="000457AB" w:rsidRPr="00E242A8">
        <w:rPr>
          <w:rFonts w:cs="Arial"/>
        </w:rPr>
        <w:t xml:space="preserve">that </w:t>
      </w:r>
      <w:r w:rsidR="00E97435">
        <w:rPr>
          <w:rFonts w:cs="Arial"/>
        </w:rPr>
        <w:t xml:space="preserve">after a child support lien notice has been filed, an assignment of benefits or rights under an insurance policy or annuity contract by an insured, owner, or annuitant </w:t>
      </w:r>
      <w:r w:rsidR="00E97435">
        <w:rPr>
          <w:rFonts w:cs="Arial"/>
        </w:rPr>
        <w:lastRenderedPageBreak/>
        <w:t>continues to be subject to the child support lien after the date of assignment.</w:t>
      </w:r>
      <w:r w:rsidR="00E97435" w:rsidRPr="00E242A8">
        <w:rPr>
          <w:rFonts w:cs="Arial"/>
        </w:rPr>
        <w:t xml:space="preserve"> Th</w:t>
      </w:r>
      <w:r w:rsidR="00E97435">
        <w:rPr>
          <w:rFonts w:cs="Arial"/>
        </w:rPr>
        <w:t>e</w:t>
      </w:r>
      <w:r w:rsidR="00E97435" w:rsidRPr="00E242A8">
        <w:rPr>
          <w:rFonts w:cs="Arial"/>
        </w:rPr>
        <w:t xml:space="preserve"> bill makes proceeds </w:t>
      </w:r>
      <w:r w:rsidR="00E97435">
        <w:rPr>
          <w:rFonts w:cs="Arial"/>
        </w:rPr>
        <w:t>of a</w:t>
      </w:r>
      <w:r w:rsidR="00E97435" w:rsidRPr="00E242A8">
        <w:rPr>
          <w:rFonts w:cs="Arial"/>
        </w:rPr>
        <w:t xml:space="preserve"> life insurance </w:t>
      </w:r>
      <w:r w:rsidR="00E97435">
        <w:rPr>
          <w:rFonts w:cs="Arial"/>
        </w:rPr>
        <w:t xml:space="preserve">policy or </w:t>
      </w:r>
      <w:r w:rsidR="00E97435" w:rsidRPr="00E242A8">
        <w:rPr>
          <w:rFonts w:cs="Arial"/>
        </w:rPr>
        <w:t>annuit</w:t>
      </w:r>
      <w:r w:rsidR="00E97435">
        <w:rPr>
          <w:rFonts w:cs="Arial"/>
        </w:rPr>
        <w:t>y contract,</w:t>
      </w:r>
      <w:r w:rsidR="00E97435" w:rsidRPr="00E242A8">
        <w:rPr>
          <w:rFonts w:cs="Arial"/>
        </w:rPr>
        <w:t xml:space="preserve"> including proceeds from </w:t>
      </w:r>
      <w:r w:rsidR="00E97435">
        <w:rPr>
          <w:rFonts w:cs="Arial"/>
        </w:rPr>
        <w:t xml:space="preserve">the </w:t>
      </w:r>
      <w:r w:rsidR="00E97435" w:rsidRPr="00E242A8">
        <w:rPr>
          <w:rFonts w:cs="Arial"/>
        </w:rPr>
        <w:t>sale or assignment of same</w:t>
      </w:r>
      <w:r w:rsidR="00E97435">
        <w:rPr>
          <w:rFonts w:cs="Arial"/>
        </w:rPr>
        <w:t>,</w:t>
      </w:r>
      <w:r w:rsidR="00E97435" w:rsidRPr="00E242A8">
        <w:rPr>
          <w:rFonts w:cs="Arial"/>
        </w:rPr>
        <w:t xml:space="preserve"> subject to </w:t>
      </w:r>
      <w:r w:rsidR="00E97435">
        <w:rPr>
          <w:rFonts w:cs="Arial"/>
        </w:rPr>
        <w:t xml:space="preserve">a child support </w:t>
      </w:r>
      <w:r w:rsidR="00E97435" w:rsidRPr="00E242A8">
        <w:rPr>
          <w:rFonts w:cs="Arial"/>
        </w:rPr>
        <w:t>lien</w:t>
      </w:r>
      <w:r w:rsidR="00E97435">
        <w:rPr>
          <w:rFonts w:cs="Arial"/>
        </w:rPr>
        <w:t xml:space="preserve">. The bill </w:t>
      </w:r>
      <w:r w:rsidR="00E97435" w:rsidRPr="00E242A8">
        <w:rPr>
          <w:rFonts w:cs="Arial"/>
        </w:rPr>
        <w:t xml:space="preserve">requires </w:t>
      </w:r>
      <w:r w:rsidR="00E97435">
        <w:rPr>
          <w:rFonts w:cs="Arial"/>
        </w:rPr>
        <w:t xml:space="preserve">a </w:t>
      </w:r>
      <w:r w:rsidR="00E97435" w:rsidRPr="00E242A8">
        <w:rPr>
          <w:rFonts w:cs="Arial"/>
        </w:rPr>
        <w:t xml:space="preserve">licensing </w:t>
      </w:r>
      <w:r w:rsidR="00E97435">
        <w:rPr>
          <w:rFonts w:cs="Arial"/>
        </w:rPr>
        <w:t>authority, if notified by a child support agency,</w:t>
      </w:r>
      <w:r w:rsidR="00E97435" w:rsidRPr="00E242A8">
        <w:rPr>
          <w:rFonts w:cs="Arial"/>
        </w:rPr>
        <w:t xml:space="preserve"> to </w:t>
      </w:r>
      <w:r w:rsidR="00E97435">
        <w:rPr>
          <w:rFonts w:cs="Arial"/>
        </w:rPr>
        <w:t>refuse to accept an application for issuance or renewal of a license for</w:t>
      </w:r>
      <w:r w:rsidR="00E97435" w:rsidRPr="00E242A8">
        <w:rPr>
          <w:rFonts w:cs="Arial"/>
        </w:rPr>
        <w:t xml:space="preserve"> applicants who are six months or more in arrears for child support. </w:t>
      </w:r>
      <w:r w:rsidR="00E97435">
        <w:rPr>
          <w:rFonts w:cs="Arial"/>
        </w:rPr>
        <w:t>It e</w:t>
      </w:r>
      <w:r w:rsidR="00E97435" w:rsidRPr="00E242A8">
        <w:rPr>
          <w:rFonts w:cs="Arial"/>
        </w:rPr>
        <w:t>stablishes timelines and procedures for filing notice of levy</w:t>
      </w:r>
      <w:r w:rsidR="00E97435">
        <w:rPr>
          <w:rFonts w:cs="Arial"/>
        </w:rPr>
        <w:t xml:space="preserve"> on a financial institution account of a deceased obligor, who was the sole owner of the account,</w:t>
      </w:r>
      <w:r w:rsidR="00E97435" w:rsidRPr="00E242A8">
        <w:rPr>
          <w:rFonts w:cs="Arial"/>
        </w:rPr>
        <w:t xml:space="preserve"> and how</w:t>
      </w:r>
      <w:r w:rsidR="00E97435">
        <w:rPr>
          <w:rFonts w:cs="Arial"/>
        </w:rPr>
        <w:t xml:space="preserve"> a person may </w:t>
      </w:r>
      <w:r w:rsidR="00E97435" w:rsidRPr="00E242A8">
        <w:rPr>
          <w:rFonts w:cs="Arial"/>
        </w:rPr>
        <w:t>contest</w:t>
      </w:r>
      <w:r w:rsidR="00E97435">
        <w:rPr>
          <w:rFonts w:cs="Arial"/>
        </w:rPr>
        <w:t xml:space="preserve"> the levy.</w:t>
      </w:r>
    </w:p>
    <w:p w:rsidR="00E97435" w:rsidRDefault="00E97435" w:rsidP="000457AB">
      <w:pPr>
        <w:ind w:left="1440" w:firstLine="0"/>
        <w:rPr>
          <w:rFonts w:cs="Arial"/>
        </w:rPr>
      </w:pPr>
    </w:p>
    <w:p w:rsidR="000457AB" w:rsidRPr="00E242A8" w:rsidRDefault="000457AB" w:rsidP="000457AB">
      <w:pPr>
        <w:ind w:left="1440" w:firstLine="0"/>
        <w:rPr>
          <w:rFonts w:cs="Arial"/>
        </w:rPr>
      </w:pPr>
      <w:r w:rsidRPr="00E242A8">
        <w:rPr>
          <w:rFonts w:cs="Arial"/>
        </w:rPr>
        <w:t>Effective September 1, 2011</w:t>
      </w:r>
      <w:r w:rsidR="00D32F40" w:rsidRPr="00E242A8">
        <w:rPr>
          <w:rFonts w:cs="Arial"/>
        </w:rPr>
        <w:t>; a</w:t>
      </w:r>
      <w:r w:rsidR="00874C1B" w:rsidRPr="00E242A8">
        <w:rPr>
          <w:rFonts w:cs="Arial"/>
        </w:rPr>
        <w:t>pplies to an assignment made on or after September 1, 2011.</w:t>
      </w:r>
    </w:p>
    <w:p w:rsidR="001D70F2" w:rsidRPr="00E242A8" w:rsidRDefault="001D70F2" w:rsidP="000457AB">
      <w:pPr>
        <w:ind w:left="1440" w:firstLine="0"/>
        <w:rPr>
          <w:rFonts w:cs="Arial"/>
        </w:rPr>
      </w:pPr>
    </w:p>
    <w:p w:rsidR="00E97435" w:rsidRPr="00E242A8" w:rsidRDefault="008D58AD" w:rsidP="00E97435">
      <w:pPr>
        <w:ind w:left="1440" w:hanging="1440"/>
        <w:rPr>
          <w:rFonts w:cs="Arial"/>
        </w:rPr>
      </w:pPr>
      <w:hyperlink r:id="rId13" w:history="1">
        <w:r w:rsidR="001D70F2" w:rsidRPr="00E242A8">
          <w:rPr>
            <w:rStyle w:val="Hyperlink"/>
            <w:rFonts w:cs="Arial"/>
            <w:snapToGrid w:val="0"/>
            <w:szCs w:val="24"/>
          </w:rPr>
          <w:t>HB1720</w:t>
        </w:r>
      </w:hyperlink>
      <w:r w:rsidR="001D70F2" w:rsidRPr="00E242A8">
        <w:rPr>
          <w:rFonts w:cs="Arial"/>
          <w:snapToGrid w:val="0"/>
          <w:color w:val="000000"/>
          <w:szCs w:val="24"/>
        </w:rPr>
        <w:tab/>
      </w:r>
      <w:r w:rsidR="00767A90" w:rsidRPr="00E242A8">
        <w:rPr>
          <w:rStyle w:val="Emphasis"/>
          <w:rFonts w:cs="Arial"/>
        </w:rPr>
        <w:t xml:space="preserve">Provider </w:t>
      </w:r>
      <w:r w:rsidR="00CB00FA">
        <w:rPr>
          <w:rStyle w:val="Emphasis"/>
          <w:rFonts w:cs="Arial"/>
        </w:rPr>
        <w:t>A</w:t>
      </w:r>
      <w:r w:rsidR="00767A90" w:rsidRPr="00E242A8">
        <w:rPr>
          <w:rStyle w:val="Emphasis"/>
          <w:rFonts w:cs="Arial"/>
        </w:rPr>
        <w:t xml:space="preserve">ccountability </w:t>
      </w:r>
      <w:r w:rsidR="00CB00FA">
        <w:rPr>
          <w:rStyle w:val="Emphasis"/>
          <w:rFonts w:cs="Arial"/>
        </w:rPr>
        <w:t>U</w:t>
      </w:r>
      <w:r w:rsidR="00767A90" w:rsidRPr="00E242A8">
        <w:rPr>
          <w:rStyle w:val="Emphasis"/>
          <w:rFonts w:cs="Arial"/>
        </w:rPr>
        <w:t xml:space="preserve">nder Medicaid </w:t>
      </w:r>
      <w:r w:rsidR="006A4BEA">
        <w:rPr>
          <w:rStyle w:val="Emphasis"/>
          <w:rFonts w:cs="Arial"/>
        </w:rPr>
        <w:t>o</w:t>
      </w:r>
      <w:r w:rsidR="00767A90" w:rsidRPr="00E242A8">
        <w:rPr>
          <w:rStyle w:val="Emphasis"/>
          <w:rFonts w:cs="Arial"/>
        </w:rPr>
        <w:t>r C</w:t>
      </w:r>
      <w:r w:rsidR="002053C3">
        <w:rPr>
          <w:rStyle w:val="Emphasis"/>
          <w:rFonts w:cs="Arial"/>
        </w:rPr>
        <w:t xml:space="preserve">HIP -- </w:t>
      </w:r>
      <w:r w:rsidR="00767A90" w:rsidRPr="00E242A8">
        <w:rPr>
          <w:rFonts w:cs="Arial"/>
          <w:snapToGrid w:val="0"/>
          <w:color w:val="000000"/>
          <w:szCs w:val="24"/>
        </w:rPr>
        <w:t xml:space="preserve">HB1720 </w:t>
      </w:r>
      <w:r w:rsidR="001D70F2" w:rsidRPr="00E242A8">
        <w:rPr>
          <w:rFonts w:cs="Arial"/>
        </w:rPr>
        <w:t xml:space="preserve">requires a </w:t>
      </w:r>
      <w:r w:rsidR="00E97435">
        <w:rPr>
          <w:rFonts w:cs="Arial"/>
        </w:rPr>
        <w:t>provider (including a nurse practitioner or physician assistant) under the Medicaid or CHIP program who provide</w:t>
      </w:r>
      <w:r w:rsidR="00F66C99">
        <w:rPr>
          <w:rFonts w:cs="Arial"/>
        </w:rPr>
        <w:t>s</w:t>
      </w:r>
      <w:r w:rsidR="00E97435">
        <w:rPr>
          <w:rFonts w:cs="Arial"/>
        </w:rPr>
        <w:t xml:space="preserve"> a referral or orders health care services to include the </w:t>
      </w:r>
      <w:r w:rsidR="00E97435" w:rsidRPr="00E242A8">
        <w:rPr>
          <w:rFonts w:cs="Arial"/>
        </w:rPr>
        <w:t xml:space="preserve">supervising provider's name and national provider identification number </w:t>
      </w:r>
      <w:r w:rsidR="00E97435">
        <w:rPr>
          <w:rFonts w:cs="Arial"/>
        </w:rPr>
        <w:t xml:space="preserve">on any </w:t>
      </w:r>
      <w:r w:rsidR="00E97435" w:rsidRPr="00E242A8">
        <w:rPr>
          <w:rFonts w:cs="Arial"/>
        </w:rPr>
        <w:t xml:space="preserve">claim </w:t>
      </w:r>
      <w:r w:rsidR="00E97435">
        <w:rPr>
          <w:rFonts w:cs="Arial"/>
        </w:rPr>
        <w:t>for reimbursement that would be based on the referral or order.</w:t>
      </w:r>
      <w:r w:rsidR="00E97435" w:rsidRPr="00E242A8">
        <w:rPr>
          <w:rFonts w:cs="Arial"/>
        </w:rPr>
        <w:t xml:space="preserve"> If a managed care organization’s special investigative unit </w:t>
      </w:r>
      <w:r w:rsidR="00E97435">
        <w:rPr>
          <w:rFonts w:cs="Arial"/>
        </w:rPr>
        <w:t xml:space="preserve">or entity </w:t>
      </w:r>
      <w:r w:rsidR="00E97435" w:rsidRPr="00E242A8">
        <w:rPr>
          <w:rFonts w:cs="Arial"/>
        </w:rPr>
        <w:t>discovers fraud or abuse</w:t>
      </w:r>
      <w:r w:rsidR="00E97435">
        <w:rPr>
          <w:rFonts w:cs="Arial"/>
        </w:rPr>
        <w:t xml:space="preserve"> in the Medicaid or CHIP program</w:t>
      </w:r>
      <w:r w:rsidR="00E97435" w:rsidRPr="00E242A8">
        <w:rPr>
          <w:rFonts w:cs="Arial"/>
        </w:rPr>
        <w:t>, it must notify the Health and Human Services Commission’s (HHSC) Office of Inspector General a</w:t>
      </w:r>
      <w:r w:rsidR="00E97435">
        <w:rPr>
          <w:rFonts w:cs="Arial"/>
        </w:rPr>
        <w:t xml:space="preserve">nd the </w:t>
      </w:r>
      <w:r w:rsidR="0018133A">
        <w:rPr>
          <w:rFonts w:cs="Arial"/>
        </w:rPr>
        <w:t>O</w:t>
      </w:r>
      <w:r w:rsidR="00E97435">
        <w:rPr>
          <w:rFonts w:cs="Arial"/>
        </w:rPr>
        <w:t xml:space="preserve">ffice of the </w:t>
      </w:r>
      <w:r w:rsidR="0018133A">
        <w:rPr>
          <w:rFonts w:cs="Arial"/>
        </w:rPr>
        <w:t>A</w:t>
      </w:r>
      <w:r w:rsidR="00E97435">
        <w:rPr>
          <w:rFonts w:cs="Arial"/>
        </w:rPr>
        <w:t xml:space="preserve">ttorney </w:t>
      </w:r>
      <w:r w:rsidR="0018133A">
        <w:rPr>
          <w:rFonts w:cs="Arial"/>
        </w:rPr>
        <w:t>G</w:t>
      </w:r>
      <w:r w:rsidR="00E97435">
        <w:rPr>
          <w:rFonts w:cs="Arial"/>
        </w:rPr>
        <w:t>eneral a</w:t>
      </w:r>
      <w:r w:rsidR="00E97435" w:rsidRPr="00E242A8">
        <w:rPr>
          <w:rFonts w:cs="Arial"/>
        </w:rPr>
        <w:t>nd begin payment recovery</w:t>
      </w:r>
      <w:r w:rsidR="00E97435">
        <w:rPr>
          <w:rFonts w:cs="Arial"/>
        </w:rPr>
        <w:t xml:space="preserve"> efforts</w:t>
      </w:r>
      <w:r w:rsidR="00E97435" w:rsidRPr="00E242A8">
        <w:rPr>
          <w:rFonts w:cs="Arial"/>
        </w:rPr>
        <w:t xml:space="preserve">. The bill establishes conditions when the </w:t>
      </w:r>
      <w:r w:rsidR="00E97435">
        <w:rPr>
          <w:rFonts w:cs="Arial"/>
        </w:rPr>
        <w:t xml:space="preserve">special investigative </w:t>
      </w:r>
      <w:r w:rsidR="00E97435" w:rsidRPr="00E242A8">
        <w:rPr>
          <w:rFonts w:cs="Arial"/>
        </w:rPr>
        <w:t xml:space="preserve">unit cannot seek recovery and requires the HHSC to adopt rules for implementation. It also prohibits a person from participating in </w:t>
      </w:r>
      <w:r w:rsidR="00E97435">
        <w:rPr>
          <w:rFonts w:cs="Arial"/>
        </w:rPr>
        <w:t xml:space="preserve">the </w:t>
      </w:r>
      <w:r w:rsidR="00E97435" w:rsidRPr="00E242A8">
        <w:rPr>
          <w:rFonts w:cs="Arial"/>
        </w:rPr>
        <w:t xml:space="preserve">CHIP program as a </w:t>
      </w:r>
      <w:r w:rsidR="00E97435">
        <w:rPr>
          <w:rFonts w:cs="Arial"/>
        </w:rPr>
        <w:t xml:space="preserve">health care </w:t>
      </w:r>
      <w:r w:rsidR="00E97435" w:rsidRPr="00E242A8">
        <w:rPr>
          <w:rFonts w:cs="Arial"/>
        </w:rPr>
        <w:t xml:space="preserve">provider </w:t>
      </w:r>
      <w:r w:rsidR="00E97435">
        <w:rPr>
          <w:rFonts w:cs="Arial"/>
        </w:rPr>
        <w:t xml:space="preserve">for a reasonable period </w:t>
      </w:r>
      <w:r w:rsidR="00E97435" w:rsidRPr="00E242A8">
        <w:rPr>
          <w:rFonts w:cs="Arial"/>
        </w:rPr>
        <w:t xml:space="preserve">if </w:t>
      </w:r>
      <w:r w:rsidR="00F66C99">
        <w:rPr>
          <w:rFonts w:cs="Arial"/>
        </w:rPr>
        <w:t>he/she</w:t>
      </w:r>
      <w:r w:rsidR="00E97435" w:rsidRPr="00E242A8">
        <w:rPr>
          <w:rFonts w:cs="Arial"/>
        </w:rPr>
        <w:t xml:space="preserve"> fail</w:t>
      </w:r>
      <w:r w:rsidR="00F66C99">
        <w:rPr>
          <w:rFonts w:cs="Arial"/>
        </w:rPr>
        <w:t>s</w:t>
      </w:r>
      <w:r w:rsidR="00E97435" w:rsidRPr="00E242A8">
        <w:rPr>
          <w:rFonts w:cs="Arial"/>
        </w:rPr>
        <w:t xml:space="preserve"> to repay overpayments or if </w:t>
      </w:r>
      <w:r w:rsidR="00F66C99">
        <w:rPr>
          <w:rFonts w:cs="Arial"/>
        </w:rPr>
        <w:t>he/she is</w:t>
      </w:r>
      <w:r w:rsidR="00E97435" w:rsidRPr="00E242A8">
        <w:rPr>
          <w:rFonts w:cs="Arial"/>
        </w:rPr>
        <w:t xml:space="preserve"> affiliated with a provider who has been suspended or prohibited from participating in the program. </w:t>
      </w:r>
    </w:p>
    <w:p w:rsidR="00E97435" w:rsidRDefault="00E97435" w:rsidP="00831B23">
      <w:pPr>
        <w:ind w:left="1440" w:firstLine="0"/>
        <w:rPr>
          <w:rFonts w:cs="Arial"/>
        </w:rPr>
      </w:pPr>
    </w:p>
    <w:p w:rsidR="001D70F2" w:rsidRPr="00E242A8" w:rsidRDefault="00767A90" w:rsidP="00831B23">
      <w:pPr>
        <w:ind w:left="1440" w:firstLine="0"/>
        <w:rPr>
          <w:rFonts w:cs="Arial"/>
        </w:rPr>
      </w:pPr>
      <w:r w:rsidRPr="00E242A8">
        <w:rPr>
          <w:rFonts w:cs="Arial"/>
        </w:rPr>
        <w:t>Effective September 1, 2011.</w:t>
      </w:r>
    </w:p>
    <w:p w:rsidR="00C447C0" w:rsidRDefault="00C447C0" w:rsidP="00AE5B26">
      <w:pPr>
        <w:ind w:left="1440" w:hanging="1440"/>
        <w:rPr>
          <w:rFonts w:cs="Arial"/>
        </w:rPr>
      </w:pPr>
    </w:p>
    <w:p w:rsidR="00C447C0" w:rsidRPr="0073024C" w:rsidRDefault="008D58AD" w:rsidP="0073024C">
      <w:pPr>
        <w:ind w:left="1440" w:hanging="1440"/>
        <w:rPr>
          <w:color w:val="000000"/>
          <w:szCs w:val="24"/>
        </w:rPr>
      </w:pPr>
      <w:hyperlink r:id="rId14" w:history="1">
        <w:r w:rsidR="001D70F2" w:rsidRPr="00E242A8">
          <w:rPr>
            <w:rStyle w:val="Hyperlink"/>
            <w:rFonts w:eastAsia="Times New Roman" w:cs="Arial"/>
            <w:szCs w:val="24"/>
          </w:rPr>
          <w:t>HB1772</w:t>
        </w:r>
      </w:hyperlink>
      <w:r w:rsidR="001D70F2" w:rsidRPr="00E242A8">
        <w:rPr>
          <w:rFonts w:eastAsia="Times New Roman"/>
          <w:color w:val="000000"/>
          <w:szCs w:val="24"/>
        </w:rPr>
        <w:tab/>
      </w:r>
      <w:r w:rsidR="00767A90" w:rsidRPr="00E242A8">
        <w:rPr>
          <w:rStyle w:val="Emphasis"/>
          <w:rFonts w:cs="Arial"/>
        </w:rPr>
        <w:t xml:space="preserve">Exclusive </w:t>
      </w:r>
      <w:r w:rsidR="00CB00FA">
        <w:rPr>
          <w:rStyle w:val="Emphasis"/>
          <w:rFonts w:cs="Arial"/>
        </w:rPr>
        <w:t>P</w:t>
      </w:r>
      <w:r w:rsidR="00767A90" w:rsidRPr="00E242A8">
        <w:rPr>
          <w:rStyle w:val="Emphasis"/>
          <w:rFonts w:cs="Arial"/>
        </w:rPr>
        <w:t xml:space="preserve">rovider </w:t>
      </w:r>
      <w:r w:rsidR="00CB00FA">
        <w:rPr>
          <w:rStyle w:val="Emphasis"/>
          <w:rFonts w:cs="Arial"/>
        </w:rPr>
        <w:t>B</w:t>
      </w:r>
      <w:r w:rsidR="00767A90" w:rsidRPr="00E242A8">
        <w:rPr>
          <w:rStyle w:val="Emphasis"/>
          <w:rFonts w:cs="Arial"/>
        </w:rPr>
        <w:t xml:space="preserve">enefit </w:t>
      </w:r>
      <w:r w:rsidR="00CB00FA">
        <w:rPr>
          <w:rStyle w:val="Emphasis"/>
          <w:rFonts w:cs="Arial"/>
        </w:rPr>
        <w:t>P</w:t>
      </w:r>
      <w:r w:rsidR="00767A90" w:rsidRPr="00E242A8">
        <w:rPr>
          <w:rStyle w:val="Emphasis"/>
          <w:rFonts w:cs="Arial"/>
        </w:rPr>
        <w:t>lans</w:t>
      </w:r>
      <w:r w:rsidR="00AE5B26" w:rsidRPr="00E242A8">
        <w:rPr>
          <w:rStyle w:val="Emphasis"/>
          <w:rFonts w:cs="Arial"/>
        </w:rPr>
        <w:t xml:space="preserve"> (EPBP)</w:t>
      </w:r>
      <w:r w:rsidR="00767A90" w:rsidRPr="00E242A8">
        <w:rPr>
          <w:rStyle w:val="Emphasis"/>
          <w:rFonts w:cs="Arial"/>
        </w:rPr>
        <w:t xml:space="preserve"> </w:t>
      </w:r>
      <w:r w:rsidR="000C2AAF" w:rsidRPr="00E242A8">
        <w:rPr>
          <w:rStyle w:val="Emphasis"/>
          <w:rFonts w:cs="Arial"/>
        </w:rPr>
        <w:t>--</w:t>
      </w:r>
      <w:r w:rsidR="00767A90" w:rsidRPr="00E242A8">
        <w:rPr>
          <w:rFonts w:eastAsia="Times New Roman"/>
          <w:color w:val="auto"/>
          <w:szCs w:val="24"/>
        </w:rPr>
        <w:t xml:space="preserve"> HB1772 </w:t>
      </w:r>
      <w:r w:rsidR="0073024C">
        <w:t xml:space="preserve">permits insurers to offer </w:t>
      </w:r>
      <w:r w:rsidR="004E1CFB">
        <w:t>EPBPs.</w:t>
      </w:r>
      <w:r w:rsidR="00830ABD">
        <w:t xml:space="preserve"> </w:t>
      </w:r>
      <w:r w:rsidR="0073024C">
        <w:t xml:space="preserve">It requires insurers offering these plans </w:t>
      </w:r>
      <w:r w:rsidR="0073024C" w:rsidRPr="00853DFC">
        <w:t xml:space="preserve">to establish procedures to ensure that health care services are provided to </w:t>
      </w:r>
      <w:proofErr w:type="spellStart"/>
      <w:r w:rsidR="0073024C" w:rsidRPr="00853DFC">
        <w:t>insureds</w:t>
      </w:r>
      <w:proofErr w:type="spellEnd"/>
      <w:r w:rsidR="0073024C" w:rsidRPr="00853DFC">
        <w:t xml:space="preserve"> under reasonable standards of quality of care that are consistent with prevailing professionally recognize</w:t>
      </w:r>
      <w:r w:rsidR="0073024C">
        <w:t>d standards of care or practice.</w:t>
      </w:r>
      <w:r w:rsidR="00830ABD">
        <w:t xml:space="preserve"> </w:t>
      </w:r>
      <w:r w:rsidR="001D70F2" w:rsidRPr="00E242A8">
        <w:t>These plans may exclude benefits, other than for emergency care, provided by a provider who is not a preferred provider. The bill permit</w:t>
      </w:r>
      <w:r w:rsidR="00767A90" w:rsidRPr="00E242A8">
        <w:t>s</w:t>
      </w:r>
      <w:r w:rsidR="001D70F2" w:rsidRPr="00E242A8">
        <w:t xml:space="preserve"> </w:t>
      </w:r>
      <w:r w:rsidR="00AE5B26" w:rsidRPr="00E242A8">
        <w:t>EPBP</w:t>
      </w:r>
      <w:r w:rsidR="001D70F2" w:rsidRPr="00E242A8">
        <w:t>s to fall within the definition of point-of-service plan</w:t>
      </w:r>
      <w:r w:rsidR="008C5385" w:rsidRPr="00E242A8">
        <w:t>s</w:t>
      </w:r>
      <w:r w:rsidR="001D70F2" w:rsidRPr="00E242A8">
        <w:t>, and essentially make</w:t>
      </w:r>
      <w:r w:rsidR="008C5385" w:rsidRPr="00E242A8">
        <w:t>s</w:t>
      </w:r>
      <w:r w:rsidR="001D70F2" w:rsidRPr="00E242A8">
        <w:t xml:space="preserve"> the same requirements of law </w:t>
      </w:r>
      <w:r w:rsidR="00F66C99">
        <w:t>that</w:t>
      </w:r>
      <w:r w:rsidR="001D70F2" w:rsidRPr="00E242A8">
        <w:t xml:space="preserve"> apply to preferred provider</w:t>
      </w:r>
      <w:r w:rsidR="00AE5B26" w:rsidRPr="00E242A8">
        <w:t xml:space="preserve"> benefit</w:t>
      </w:r>
      <w:r w:rsidR="001D70F2" w:rsidRPr="00E242A8">
        <w:t xml:space="preserve"> plans apply to EPBPs (unless the commissioner determines otherwise).</w:t>
      </w:r>
      <w:r w:rsidR="00830ABD">
        <w:t xml:space="preserve"> </w:t>
      </w:r>
      <w:r w:rsidR="0073024C">
        <w:t xml:space="preserve">The bill requires insurers to include notice to current or prospective </w:t>
      </w:r>
      <w:proofErr w:type="spellStart"/>
      <w:r w:rsidR="0073024C">
        <w:t>insureds</w:t>
      </w:r>
      <w:proofErr w:type="spellEnd"/>
      <w:r w:rsidR="0073024C">
        <w:t xml:space="preserve"> that the benefit </w:t>
      </w:r>
      <w:r w:rsidR="0073024C" w:rsidRPr="004C18BA">
        <w:t>plan includes limited coverage for services provided by a non-preferred provider and</w:t>
      </w:r>
      <w:r w:rsidR="0073024C">
        <w:t xml:space="preserve"> further requires</w:t>
      </w:r>
      <w:r w:rsidR="0073024C" w:rsidRPr="004C18BA">
        <w:t xml:space="preserve"> use of the acronym "EPO" or the phrase "Exclusive Provider Organization" on the</w:t>
      </w:r>
      <w:r w:rsidR="0073024C">
        <w:t xml:space="preserve"> plan’s</w:t>
      </w:r>
      <w:r w:rsidR="0073024C" w:rsidRPr="004C18BA">
        <w:t xml:space="preserve"> identification card in a location of the insurer's choice.</w:t>
      </w:r>
      <w:r w:rsidR="00830ABD">
        <w:t xml:space="preserve"> </w:t>
      </w:r>
      <w:r w:rsidR="0073024C" w:rsidRPr="004C18BA">
        <w:t>The bill allows t</w:t>
      </w:r>
      <w:r w:rsidR="0073024C">
        <w:t>he commissioner to</w:t>
      </w:r>
      <w:r w:rsidR="0073024C" w:rsidRPr="004C18BA">
        <w:t xml:space="preserve"> examine</w:t>
      </w:r>
      <w:r w:rsidR="0073024C">
        <w:t xml:space="preserve"> and collect a fee from</w:t>
      </w:r>
      <w:r w:rsidR="0073024C" w:rsidRPr="004C18BA">
        <w:t xml:space="preserve"> an insurer to determine the quality and </w:t>
      </w:r>
      <w:r w:rsidR="0073024C" w:rsidRPr="004C18BA">
        <w:lastRenderedPageBreak/>
        <w:t>adequacy of a network used by an exclusive provider benefit plan offered by the insurer</w:t>
      </w:r>
      <w:r w:rsidR="0073024C">
        <w:t>.</w:t>
      </w:r>
    </w:p>
    <w:p w:rsidR="0073024C" w:rsidRPr="0073024C" w:rsidRDefault="0073024C" w:rsidP="0073024C">
      <w:pPr>
        <w:rPr>
          <w:color w:val="000000"/>
          <w:szCs w:val="24"/>
        </w:rPr>
      </w:pPr>
    </w:p>
    <w:p w:rsidR="001D70F2" w:rsidRPr="00E242A8" w:rsidRDefault="00AE5B26" w:rsidP="0073024C">
      <w:pPr>
        <w:ind w:left="1440" w:firstLine="0"/>
      </w:pPr>
      <w:r w:rsidRPr="00E242A8">
        <w:t>Effective September 1, 2011</w:t>
      </w:r>
      <w:r w:rsidR="00BE6D59" w:rsidRPr="00E242A8">
        <w:t>; a</w:t>
      </w:r>
      <w:r w:rsidRPr="00E242A8">
        <w:t>pplies only to an EPBP that is delivered, issued for delivery, or renewed on or after January 1, 2012.</w:t>
      </w:r>
    </w:p>
    <w:p w:rsidR="001F4A03" w:rsidRPr="00E242A8" w:rsidRDefault="001F4A03" w:rsidP="00AE5B26">
      <w:pPr>
        <w:ind w:left="1440" w:firstLine="0"/>
        <w:rPr>
          <w:rFonts w:cs="Arial"/>
        </w:rPr>
      </w:pPr>
    </w:p>
    <w:p w:rsidR="00831B23" w:rsidRPr="00E242A8" w:rsidRDefault="008D58AD" w:rsidP="001D70F2">
      <w:pPr>
        <w:ind w:left="1440" w:hanging="1440"/>
        <w:rPr>
          <w:rFonts w:cs="Arial"/>
          <w:snapToGrid w:val="0"/>
          <w:color w:val="000000"/>
          <w:szCs w:val="24"/>
        </w:rPr>
      </w:pPr>
      <w:hyperlink r:id="rId15" w:history="1">
        <w:r w:rsidR="001F4A03" w:rsidRPr="00E242A8">
          <w:rPr>
            <w:rStyle w:val="Hyperlink"/>
            <w:rFonts w:cs="Arial"/>
            <w:snapToGrid w:val="0"/>
            <w:szCs w:val="24"/>
          </w:rPr>
          <w:t>HB1951</w:t>
        </w:r>
      </w:hyperlink>
      <w:r w:rsidR="001F4A03" w:rsidRPr="00E242A8">
        <w:rPr>
          <w:rFonts w:cs="Arial"/>
          <w:snapToGrid w:val="0"/>
          <w:color w:val="000000"/>
          <w:szCs w:val="24"/>
        </w:rPr>
        <w:tab/>
      </w:r>
      <w:r w:rsidR="00831B23" w:rsidRPr="00E242A8">
        <w:rPr>
          <w:rStyle w:val="Emphasis"/>
          <w:rFonts w:cs="Arial"/>
        </w:rPr>
        <w:t xml:space="preserve">Adjuster </w:t>
      </w:r>
      <w:r w:rsidR="00CB00FA">
        <w:rPr>
          <w:rStyle w:val="Emphasis"/>
          <w:rFonts w:cs="Arial"/>
        </w:rPr>
        <w:t>A</w:t>
      </w:r>
      <w:r w:rsidR="00831B23" w:rsidRPr="00E242A8">
        <w:rPr>
          <w:rStyle w:val="Emphasis"/>
          <w:rFonts w:cs="Arial"/>
        </w:rPr>
        <w:t xml:space="preserve">dvisory </w:t>
      </w:r>
      <w:r w:rsidR="00CB00FA">
        <w:rPr>
          <w:rStyle w:val="Emphasis"/>
          <w:rFonts w:cs="Arial"/>
        </w:rPr>
        <w:t>B</w:t>
      </w:r>
      <w:r w:rsidR="00831B23" w:rsidRPr="00E242A8">
        <w:rPr>
          <w:rStyle w:val="Emphasis"/>
          <w:rFonts w:cs="Arial"/>
        </w:rPr>
        <w:t>oard --</w:t>
      </w:r>
      <w:r w:rsidR="00831B23" w:rsidRPr="00E242A8">
        <w:rPr>
          <w:rFonts w:cs="Arial"/>
        </w:rPr>
        <w:t xml:space="preserve"> HB1951 creates a 9-member adjuster advisory board designed to advise the commissioner on matters related to the licensing, testing, and continuing education of licensed adjusters; claims handling, catastrophic loss preparedness, ethical guidelines, and other professionally relevant issues; and any other matter the </w:t>
      </w:r>
      <w:r w:rsidR="001F11DC">
        <w:rPr>
          <w:rFonts w:cs="Arial"/>
        </w:rPr>
        <w:t>c</w:t>
      </w:r>
      <w:r w:rsidR="00831326">
        <w:rPr>
          <w:rFonts w:cs="Arial"/>
        </w:rPr>
        <w:t xml:space="preserve">ommissioner </w:t>
      </w:r>
      <w:r w:rsidR="00831B23" w:rsidRPr="00E242A8">
        <w:rPr>
          <w:rFonts w:cs="Arial"/>
        </w:rPr>
        <w:t>submits to the advisory board for a recommendation.</w:t>
      </w:r>
    </w:p>
    <w:p w:rsidR="00831B23" w:rsidRPr="00E242A8" w:rsidRDefault="00831B23" w:rsidP="00C447C0">
      <w:pPr>
        <w:ind w:left="1440" w:firstLine="0"/>
        <w:rPr>
          <w:rFonts w:cs="Arial"/>
          <w:snapToGrid w:val="0"/>
          <w:color w:val="000000"/>
          <w:szCs w:val="24"/>
        </w:rPr>
      </w:pPr>
    </w:p>
    <w:p w:rsidR="00831B23" w:rsidRDefault="00831B23" w:rsidP="00831B23">
      <w:pPr>
        <w:ind w:left="1440" w:firstLine="0"/>
        <w:rPr>
          <w:rFonts w:cs="Arial"/>
        </w:rPr>
      </w:pPr>
      <w:r w:rsidRPr="00E242A8">
        <w:rPr>
          <w:rStyle w:val="Emphasis"/>
          <w:rFonts w:cs="Arial"/>
        </w:rPr>
        <w:t xml:space="preserve">Advisory </w:t>
      </w:r>
      <w:r w:rsidR="00CB00FA">
        <w:rPr>
          <w:rStyle w:val="Emphasis"/>
          <w:rFonts w:cs="Arial"/>
        </w:rPr>
        <w:t>C</w:t>
      </w:r>
      <w:r w:rsidRPr="00E242A8">
        <w:rPr>
          <w:rStyle w:val="Emphasis"/>
          <w:rFonts w:cs="Arial"/>
        </w:rPr>
        <w:t xml:space="preserve">ommittees </w:t>
      </w:r>
      <w:r w:rsidR="000C2AAF" w:rsidRPr="00E242A8">
        <w:rPr>
          <w:rStyle w:val="Emphasis"/>
          <w:rFonts w:cs="Arial"/>
        </w:rPr>
        <w:t>--</w:t>
      </w:r>
      <w:r w:rsidRPr="00E242A8">
        <w:rPr>
          <w:rFonts w:cs="Arial"/>
          <w:color w:val="002240"/>
          <w:szCs w:val="24"/>
        </w:rPr>
        <w:t xml:space="preserve"> </w:t>
      </w:r>
      <w:r w:rsidR="00E97435" w:rsidRPr="00E242A8">
        <w:rPr>
          <w:rFonts w:cs="Arial"/>
        </w:rPr>
        <w:t xml:space="preserve">HB1951 </w:t>
      </w:r>
      <w:r w:rsidR="00E97435">
        <w:rPr>
          <w:rFonts w:cs="Arial"/>
        </w:rPr>
        <w:t>repeal</w:t>
      </w:r>
      <w:r w:rsidR="00F66C99">
        <w:rPr>
          <w:rFonts w:cs="Arial"/>
        </w:rPr>
        <w:t>s</w:t>
      </w:r>
      <w:r w:rsidR="00E97435">
        <w:rPr>
          <w:rFonts w:cs="Arial"/>
        </w:rPr>
        <w:t xml:space="preserve"> the statutory basis for </w:t>
      </w:r>
      <w:r w:rsidR="00E97435" w:rsidRPr="00E242A8">
        <w:rPr>
          <w:rFonts w:cs="Arial"/>
        </w:rPr>
        <w:t>several advisory boards, committees, and councils</w:t>
      </w:r>
      <w:r w:rsidR="00E97435">
        <w:rPr>
          <w:rFonts w:cs="Arial"/>
        </w:rPr>
        <w:t>, including the consumer assistance program for</w:t>
      </w:r>
      <w:r w:rsidR="00127136">
        <w:rPr>
          <w:rFonts w:cs="Arial"/>
        </w:rPr>
        <w:t xml:space="preserve"> health maintenance organizations</w:t>
      </w:r>
      <w:r w:rsidR="00E97435">
        <w:rPr>
          <w:rFonts w:cs="Arial"/>
        </w:rPr>
        <w:t xml:space="preserve"> </w:t>
      </w:r>
      <w:r w:rsidR="00127136">
        <w:rPr>
          <w:rFonts w:cs="Arial"/>
        </w:rPr>
        <w:t>(</w:t>
      </w:r>
      <w:r w:rsidR="00E97435">
        <w:rPr>
          <w:rFonts w:cs="Arial"/>
        </w:rPr>
        <w:t>HMOs</w:t>
      </w:r>
      <w:r w:rsidR="00127136">
        <w:rPr>
          <w:rFonts w:cs="Arial"/>
        </w:rPr>
        <w:t>)</w:t>
      </w:r>
      <w:r w:rsidR="00E97435">
        <w:rPr>
          <w:rFonts w:cs="Arial"/>
        </w:rPr>
        <w:t xml:space="preserve">, the </w:t>
      </w:r>
      <w:proofErr w:type="spellStart"/>
      <w:r w:rsidR="00E97435">
        <w:rPr>
          <w:rFonts w:cs="Arial"/>
        </w:rPr>
        <w:t>TexLink</w:t>
      </w:r>
      <w:proofErr w:type="spellEnd"/>
      <w:r w:rsidR="00E97435">
        <w:rPr>
          <w:rFonts w:cs="Arial"/>
        </w:rPr>
        <w:t xml:space="preserve"> to Health Coverage Program Task Force, the HMO Solvency Surveillance Committee, the Technical Advisory Committee on Claims Processing, the Technical Advisory Committee on Electronic Data Exchange, advisory boards regarding agent continuing education and examination, and the utilization review agents advisory committee</w:t>
      </w:r>
      <w:r w:rsidR="00E97435" w:rsidRPr="00E242A8">
        <w:rPr>
          <w:rFonts w:cs="Arial"/>
        </w:rPr>
        <w:t xml:space="preserve">. The bill requires the commissioner to adopt rules to periodically evaluate an advisory committee to assess its continued necessity and rules to govern an advisory committee’s purpose/responsibility, size, qualifications, </w:t>
      </w:r>
      <w:r w:rsidR="00E97435">
        <w:rPr>
          <w:rFonts w:cs="Arial"/>
        </w:rPr>
        <w:t xml:space="preserve">appointment </w:t>
      </w:r>
      <w:r w:rsidR="00E97435" w:rsidRPr="00E242A8">
        <w:rPr>
          <w:rFonts w:cs="Arial"/>
        </w:rPr>
        <w:t xml:space="preserve">procedures, </w:t>
      </w:r>
      <w:proofErr w:type="gramStart"/>
      <w:r w:rsidR="00E97435" w:rsidRPr="00E242A8">
        <w:rPr>
          <w:rFonts w:cs="Arial"/>
        </w:rPr>
        <w:t>terms</w:t>
      </w:r>
      <w:proofErr w:type="gramEnd"/>
      <w:r w:rsidR="00E97435" w:rsidRPr="00E242A8">
        <w:rPr>
          <w:rFonts w:cs="Arial"/>
        </w:rPr>
        <w:t xml:space="preserve"> of service, train</w:t>
      </w:r>
      <w:r w:rsidR="00E97435">
        <w:rPr>
          <w:rFonts w:cs="Arial"/>
        </w:rPr>
        <w:t>ing requirements, and duration.</w:t>
      </w:r>
    </w:p>
    <w:p w:rsidR="00831326" w:rsidRDefault="00831326" w:rsidP="00831B23">
      <w:pPr>
        <w:ind w:left="1440" w:firstLine="0"/>
        <w:rPr>
          <w:rFonts w:cs="Arial"/>
        </w:rPr>
      </w:pPr>
    </w:p>
    <w:p w:rsidR="00831B23" w:rsidRPr="00E242A8" w:rsidRDefault="00CD3462" w:rsidP="00831B23">
      <w:pPr>
        <w:ind w:left="1440" w:firstLine="0"/>
        <w:rPr>
          <w:rFonts w:cs="Arial"/>
        </w:rPr>
      </w:pPr>
      <w:r>
        <w:rPr>
          <w:rStyle w:val="Emphasis"/>
          <w:rFonts w:cs="Arial"/>
        </w:rPr>
        <w:t xml:space="preserve">HMO </w:t>
      </w:r>
      <w:r w:rsidR="00CB00FA">
        <w:rPr>
          <w:rStyle w:val="Emphasis"/>
          <w:rFonts w:cs="Arial"/>
        </w:rPr>
        <w:t>A</w:t>
      </w:r>
      <w:r w:rsidR="00831B23" w:rsidRPr="00E242A8">
        <w:rPr>
          <w:rStyle w:val="Emphasis"/>
          <w:rFonts w:cs="Arial"/>
        </w:rPr>
        <w:t>ssessments --</w:t>
      </w:r>
      <w:r w:rsidR="00831B23" w:rsidRPr="00E242A8">
        <w:rPr>
          <w:rFonts w:cs="Arial"/>
        </w:rPr>
        <w:t xml:space="preserve"> HB1951 permits the assessment of HMO</w:t>
      </w:r>
      <w:r w:rsidR="004A3C2F">
        <w:rPr>
          <w:rFonts w:cs="Arial"/>
        </w:rPr>
        <w:t>s</w:t>
      </w:r>
      <w:r w:rsidR="00831B23" w:rsidRPr="00E242A8">
        <w:rPr>
          <w:rFonts w:cs="Arial"/>
        </w:rPr>
        <w:t xml:space="preserve"> to fund the commissioner's expenses associated in connection with an HMO in rehabilitation, liquidation, supervision, conservatorship, or seizure.</w:t>
      </w:r>
    </w:p>
    <w:p w:rsidR="00831B23" w:rsidRPr="00E242A8" w:rsidRDefault="00831B23" w:rsidP="00831B23">
      <w:pPr>
        <w:ind w:left="1440" w:firstLine="0"/>
        <w:rPr>
          <w:rFonts w:cs="Arial"/>
        </w:rPr>
      </w:pPr>
    </w:p>
    <w:p w:rsidR="00831B23" w:rsidRPr="00E242A8" w:rsidRDefault="00CD3462" w:rsidP="00831B23">
      <w:pPr>
        <w:ind w:left="1440" w:firstLine="0"/>
        <w:rPr>
          <w:rFonts w:cs="Arial"/>
        </w:rPr>
      </w:pPr>
      <w:r>
        <w:rPr>
          <w:rStyle w:val="Emphasis"/>
          <w:rFonts w:cs="Arial"/>
        </w:rPr>
        <w:t xml:space="preserve">Limitations </w:t>
      </w:r>
      <w:r w:rsidR="006A4BEA">
        <w:rPr>
          <w:rStyle w:val="Emphasis"/>
          <w:rFonts w:cs="Arial"/>
        </w:rPr>
        <w:t>o</w:t>
      </w:r>
      <w:r>
        <w:rPr>
          <w:rStyle w:val="Emphasis"/>
          <w:rFonts w:cs="Arial"/>
        </w:rPr>
        <w:t xml:space="preserve">n </w:t>
      </w:r>
      <w:r w:rsidR="00CB00FA">
        <w:rPr>
          <w:rStyle w:val="Emphasis"/>
          <w:rFonts w:cs="Arial"/>
        </w:rPr>
        <w:t>V</w:t>
      </w:r>
      <w:r>
        <w:rPr>
          <w:rStyle w:val="Emphasis"/>
          <w:rFonts w:cs="Arial"/>
        </w:rPr>
        <w:t xml:space="preserve">ision </w:t>
      </w:r>
      <w:r w:rsidR="00CB00FA">
        <w:rPr>
          <w:rStyle w:val="Emphasis"/>
          <w:rFonts w:cs="Arial"/>
        </w:rPr>
        <w:t>C</w:t>
      </w:r>
      <w:r>
        <w:rPr>
          <w:rStyle w:val="Emphasis"/>
          <w:rFonts w:cs="Arial"/>
        </w:rPr>
        <w:t>ontracting</w:t>
      </w:r>
      <w:r w:rsidR="00831B23" w:rsidRPr="00E242A8">
        <w:rPr>
          <w:rStyle w:val="Emphasis"/>
          <w:rFonts w:cs="Arial"/>
        </w:rPr>
        <w:t xml:space="preserve"> --</w:t>
      </w:r>
      <w:r w:rsidR="00831B23" w:rsidRPr="00E242A8">
        <w:rPr>
          <w:rFonts w:cs="Arial"/>
        </w:rPr>
        <w:t xml:space="preserve"> HB1951 prohibits the conditioning of a therapeutic optometrist’s or ophthalmologist’s inclusion in one or more of a managed care plan’s medical panels on the therapeutic optometrist’s or ophthalmologist’s inclusion in or acceptance of the terms of payment under or for a particular vision panel in which the therapeutic optometrist or ophthalmologist does not wish to be included.</w:t>
      </w:r>
    </w:p>
    <w:p w:rsidR="00831B23" w:rsidRPr="00E242A8" w:rsidRDefault="00831B23" w:rsidP="00831B23">
      <w:pPr>
        <w:ind w:left="1440" w:firstLine="0"/>
        <w:rPr>
          <w:rFonts w:cs="Arial"/>
          <w:snapToGrid w:val="0"/>
          <w:color w:val="000000"/>
          <w:szCs w:val="24"/>
        </w:rPr>
      </w:pPr>
    </w:p>
    <w:p w:rsidR="00E97435" w:rsidRPr="00E242A8" w:rsidRDefault="00CD3462" w:rsidP="00E97435">
      <w:pPr>
        <w:ind w:left="1440" w:firstLine="0"/>
        <w:rPr>
          <w:rFonts w:cs="Arial"/>
          <w:snapToGrid w:val="0"/>
          <w:color w:val="000000"/>
          <w:szCs w:val="24"/>
        </w:rPr>
      </w:pPr>
      <w:r>
        <w:rPr>
          <w:rStyle w:val="Emphasis"/>
          <w:rFonts w:cs="Arial"/>
        </w:rPr>
        <w:t xml:space="preserve">Encouragement </w:t>
      </w:r>
      <w:r w:rsidR="006A4BEA">
        <w:rPr>
          <w:rStyle w:val="Emphasis"/>
          <w:rFonts w:cs="Arial"/>
        </w:rPr>
        <w:t>o</w:t>
      </w:r>
      <w:r>
        <w:rPr>
          <w:rStyle w:val="Emphasis"/>
          <w:rFonts w:cs="Arial"/>
        </w:rPr>
        <w:t xml:space="preserve">f </w:t>
      </w:r>
      <w:r w:rsidR="00CB00FA">
        <w:rPr>
          <w:rStyle w:val="Emphasis"/>
          <w:rFonts w:cs="Arial"/>
        </w:rPr>
        <w:t>E</w:t>
      </w:r>
      <w:r w:rsidR="00831B23" w:rsidRPr="00E242A8">
        <w:rPr>
          <w:rStyle w:val="Emphasis"/>
          <w:rFonts w:cs="Arial"/>
        </w:rPr>
        <w:t xml:space="preserve">lectronic </w:t>
      </w:r>
      <w:r w:rsidR="00CB00FA">
        <w:rPr>
          <w:rStyle w:val="Emphasis"/>
          <w:rFonts w:cs="Arial"/>
        </w:rPr>
        <w:t>T</w:t>
      </w:r>
      <w:r w:rsidR="00831B23" w:rsidRPr="00E242A8">
        <w:rPr>
          <w:rStyle w:val="Emphasis"/>
          <w:rFonts w:cs="Arial"/>
        </w:rPr>
        <w:t>ransactions --</w:t>
      </w:r>
      <w:r w:rsidR="00831B23" w:rsidRPr="00E242A8">
        <w:rPr>
          <w:rFonts w:cs="Arial"/>
        </w:rPr>
        <w:t xml:space="preserve"> </w:t>
      </w:r>
      <w:r w:rsidR="00E97435" w:rsidRPr="00E242A8">
        <w:rPr>
          <w:rFonts w:cs="Arial"/>
        </w:rPr>
        <w:t xml:space="preserve">HB1951 authorizes a regulated entity to conduct business electronically to the same extent as </w:t>
      </w:r>
      <w:r w:rsidR="00E97435">
        <w:rPr>
          <w:rFonts w:cs="Arial"/>
        </w:rPr>
        <w:t xml:space="preserve">the entity is </w:t>
      </w:r>
      <w:r w:rsidR="00E97435" w:rsidRPr="00E242A8">
        <w:rPr>
          <w:rFonts w:cs="Arial"/>
        </w:rPr>
        <w:t xml:space="preserve">otherwise authorized </w:t>
      </w:r>
      <w:r w:rsidR="00E97435">
        <w:rPr>
          <w:rFonts w:cs="Arial"/>
        </w:rPr>
        <w:t xml:space="preserve">to conduct business </w:t>
      </w:r>
      <w:r w:rsidR="00E97435" w:rsidRPr="00E242A8">
        <w:rPr>
          <w:rFonts w:cs="Arial"/>
        </w:rPr>
        <w:t xml:space="preserve">if each party agrees in advance to conduct the business electronically. </w:t>
      </w:r>
      <w:r w:rsidR="00B9732F">
        <w:t xml:space="preserve">The bill requires the commissioner to adopt </w:t>
      </w:r>
      <w:r w:rsidR="00B9732F" w:rsidRPr="00517417">
        <w:t>rules</w:t>
      </w:r>
      <w:r w:rsidR="00E97435" w:rsidRPr="00E242A8">
        <w:rPr>
          <w:rFonts w:cs="Arial"/>
        </w:rPr>
        <w:t xml:space="preserve"> that include minimum standards for the entity's electronic conduct of business with other regulated entities and consumers.</w:t>
      </w:r>
    </w:p>
    <w:p w:rsidR="00831B23" w:rsidRPr="00E242A8" w:rsidRDefault="00831B23" w:rsidP="00831B23">
      <w:pPr>
        <w:ind w:left="1440" w:firstLine="0"/>
        <w:rPr>
          <w:rFonts w:cs="Arial"/>
          <w:b/>
          <w:snapToGrid w:val="0"/>
          <w:color w:val="000000"/>
          <w:szCs w:val="24"/>
        </w:rPr>
      </w:pPr>
    </w:p>
    <w:p w:rsidR="00106AD2" w:rsidRPr="00E242A8" w:rsidRDefault="00CD3462" w:rsidP="00831B23">
      <w:pPr>
        <w:ind w:left="1440" w:firstLine="0"/>
        <w:rPr>
          <w:rFonts w:cs="Arial"/>
        </w:rPr>
      </w:pPr>
      <w:r>
        <w:rPr>
          <w:rStyle w:val="Emphasis"/>
          <w:rFonts w:cs="Arial"/>
        </w:rPr>
        <w:lastRenderedPageBreak/>
        <w:t xml:space="preserve">Expansion </w:t>
      </w:r>
      <w:r w:rsidR="006A4BEA">
        <w:rPr>
          <w:rStyle w:val="Emphasis"/>
          <w:rFonts w:cs="Arial"/>
        </w:rPr>
        <w:t>o</w:t>
      </w:r>
      <w:r>
        <w:rPr>
          <w:rStyle w:val="Emphasis"/>
          <w:rFonts w:cs="Arial"/>
        </w:rPr>
        <w:t xml:space="preserve">f TDI’s </w:t>
      </w:r>
      <w:r w:rsidR="00CB00FA">
        <w:rPr>
          <w:rStyle w:val="Emphasis"/>
          <w:rFonts w:cs="Arial"/>
        </w:rPr>
        <w:t>D</w:t>
      </w:r>
      <w:r>
        <w:rPr>
          <w:rStyle w:val="Emphasis"/>
          <w:rFonts w:cs="Arial"/>
        </w:rPr>
        <w:t>uties</w:t>
      </w:r>
      <w:r w:rsidR="001F4A03" w:rsidRPr="00E242A8">
        <w:rPr>
          <w:rStyle w:val="Emphasis"/>
          <w:rFonts w:cs="Arial"/>
        </w:rPr>
        <w:t xml:space="preserve"> </w:t>
      </w:r>
      <w:r w:rsidR="000C2AAF" w:rsidRPr="00E242A8">
        <w:rPr>
          <w:rStyle w:val="Emphasis"/>
          <w:rFonts w:cs="Arial"/>
        </w:rPr>
        <w:t>--</w:t>
      </w:r>
      <w:r w:rsidR="001F4A03" w:rsidRPr="00E242A8">
        <w:rPr>
          <w:rFonts w:cs="Arial"/>
          <w:b/>
          <w:snapToGrid w:val="0"/>
          <w:color w:val="000000"/>
          <w:szCs w:val="24"/>
        </w:rPr>
        <w:t xml:space="preserve"> </w:t>
      </w:r>
      <w:r w:rsidR="001F4A03" w:rsidRPr="00E242A8">
        <w:rPr>
          <w:rFonts w:cs="Arial"/>
          <w:snapToGrid w:val="0"/>
          <w:color w:val="000000"/>
          <w:szCs w:val="24"/>
        </w:rPr>
        <w:t xml:space="preserve">HB1951 </w:t>
      </w:r>
      <w:r w:rsidR="00106AD2" w:rsidRPr="00E242A8">
        <w:rPr>
          <w:rFonts w:cs="Arial"/>
        </w:rPr>
        <w:t>e</w:t>
      </w:r>
      <w:r w:rsidR="001F4A03" w:rsidRPr="00E242A8">
        <w:rPr>
          <w:rFonts w:cs="Arial"/>
        </w:rPr>
        <w:t xml:space="preserve">xpands </w:t>
      </w:r>
      <w:r w:rsidR="00D50884">
        <w:rPr>
          <w:rFonts w:cs="Arial"/>
        </w:rPr>
        <w:t>TDI</w:t>
      </w:r>
      <w:r w:rsidR="00831326">
        <w:rPr>
          <w:rFonts w:cs="Arial"/>
        </w:rPr>
        <w:t>’s</w:t>
      </w:r>
      <w:r w:rsidR="001F4A03" w:rsidRPr="00E242A8">
        <w:rPr>
          <w:rFonts w:cs="Arial"/>
        </w:rPr>
        <w:t xml:space="preserve"> duties to include protecting and ensuring the fair treatment of consumers and ensuring fair competition in the insurance industry</w:t>
      </w:r>
      <w:r w:rsidR="00106AD2" w:rsidRPr="00E242A8">
        <w:rPr>
          <w:rFonts w:cs="Arial"/>
        </w:rPr>
        <w:t>.</w:t>
      </w:r>
    </w:p>
    <w:p w:rsidR="00831B23" w:rsidRPr="00E242A8" w:rsidRDefault="00831B23" w:rsidP="00831B23">
      <w:pPr>
        <w:ind w:left="1440" w:firstLine="0"/>
        <w:rPr>
          <w:rFonts w:cs="Arial"/>
        </w:rPr>
      </w:pPr>
    </w:p>
    <w:p w:rsidR="00831B23" w:rsidRPr="00E242A8" w:rsidRDefault="00831B23" w:rsidP="00831B23">
      <w:pPr>
        <w:ind w:left="1440" w:firstLine="0"/>
        <w:rPr>
          <w:rFonts w:cs="Arial"/>
        </w:rPr>
      </w:pPr>
      <w:r w:rsidRPr="00E242A8">
        <w:rPr>
          <w:rStyle w:val="Emphasis"/>
          <w:rFonts w:cs="Arial"/>
        </w:rPr>
        <w:t xml:space="preserve">Individual </w:t>
      </w:r>
      <w:r w:rsidR="00CB00FA">
        <w:rPr>
          <w:rStyle w:val="Emphasis"/>
          <w:rFonts w:cs="Arial"/>
        </w:rPr>
        <w:t>H</w:t>
      </w:r>
      <w:r w:rsidRPr="00E242A8">
        <w:rPr>
          <w:rStyle w:val="Emphasis"/>
          <w:rFonts w:cs="Arial"/>
        </w:rPr>
        <w:t xml:space="preserve">ealth </w:t>
      </w:r>
      <w:r w:rsidR="00CB00FA">
        <w:rPr>
          <w:rStyle w:val="Emphasis"/>
          <w:rFonts w:cs="Arial"/>
        </w:rPr>
        <w:t>C</w:t>
      </w:r>
      <w:r w:rsidRPr="00E242A8">
        <w:rPr>
          <w:rStyle w:val="Emphasis"/>
          <w:rFonts w:cs="Arial"/>
        </w:rPr>
        <w:t xml:space="preserve">overage </w:t>
      </w:r>
      <w:r w:rsidR="006A4BEA">
        <w:rPr>
          <w:rStyle w:val="Emphasis"/>
          <w:rFonts w:cs="Arial"/>
        </w:rPr>
        <w:t>f</w:t>
      </w:r>
      <w:r w:rsidRPr="00E242A8">
        <w:rPr>
          <w:rStyle w:val="Emphasis"/>
          <w:rFonts w:cs="Arial"/>
        </w:rPr>
        <w:t xml:space="preserve">or </w:t>
      </w:r>
      <w:r w:rsidR="00CB00FA">
        <w:rPr>
          <w:rStyle w:val="Emphasis"/>
          <w:rFonts w:cs="Arial"/>
        </w:rPr>
        <w:t>C</w:t>
      </w:r>
      <w:r w:rsidRPr="00E242A8">
        <w:rPr>
          <w:rStyle w:val="Emphasis"/>
          <w:rFonts w:cs="Arial"/>
        </w:rPr>
        <w:t>hildren --</w:t>
      </w:r>
      <w:r w:rsidRPr="00E242A8">
        <w:rPr>
          <w:rFonts w:cs="Arial"/>
        </w:rPr>
        <w:t xml:space="preserve"> HB1951 allows the commissioner to adopt rules on an emergency basis in order to increase the availability of health insurance for children under the age of 19, which can include the establishment of open enrollment periods and qualifying events</w:t>
      </w:r>
      <w:r w:rsidR="00E97435">
        <w:rPr>
          <w:rFonts w:cs="Arial"/>
        </w:rPr>
        <w:t xml:space="preserve"> as exceptions to the open enrollment period</w:t>
      </w:r>
      <w:r w:rsidRPr="00E242A8">
        <w:rPr>
          <w:rFonts w:cs="Arial"/>
        </w:rPr>
        <w:t>.</w:t>
      </w:r>
    </w:p>
    <w:p w:rsidR="00106AD2" w:rsidRPr="00E242A8" w:rsidRDefault="00106AD2" w:rsidP="00831B23">
      <w:pPr>
        <w:ind w:left="1440" w:firstLine="0"/>
        <w:rPr>
          <w:rFonts w:cs="Arial"/>
        </w:rPr>
      </w:pPr>
    </w:p>
    <w:p w:rsidR="00106AD2" w:rsidRDefault="00106AD2" w:rsidP="00831B23">
      <w:pPr>
        <w:ind w:left="1440" w:firstLine="0"/>
        <w:rPr>
          <w:rFonts w:cs="Arial"/>
        </w:rPr>
      </w:pPr>
      <w:r w:rsidRPr="00E242A8">
        <w:rPr>
          <w:rStyle w:val="Emphasis"/>
          <w:rFonts w:cs="Arial"/>
        </w:rPr>
        <w:t xml:space="preserve">Negotiated </w:t>
      </w:r>
      <w:r w:rsidR="00CB00FA">
        <w:rPr>
          <w:rStyle w:val="Emphasis"/>
          <w:rFonts w:cs="Arial"/>
        </w:rPr>
        <w:t>R</w:t>
      </w:r>
      <w:r w:rsidRPr="00E242A8">
        <w:rPr>
          <w:rStyle w:val="Emphasis"/>
          <w:rFonts w:cs="Arial"/>
        </w:rPr>
        <w:t xml:space="preserve">ulemaking </w:t>
      </w:r>
      <w:r w:rsidR="006A4BEA">
        <w:rPr>
          <w:rStyle w:val="Emphasis"/>
          <w:rFonts w:cs="Arial"/>
        </w:rPr>
        <w:t>a</w:t>
      </w:r>
      <w:r w:rsidRPr="00E242A8">
        <w:rPr>
          <w:rStyle w:val="Emphasis"/>
          <w:rFonts w:cs="Arial"/>
        </w:rPr>
        <w:t xml:space="preserve">nd </w:t>
      </w:r>
      <w:r w:rsidR="00CB00FA">
        <w:rPr>
          <w:rStyle w:val="Emphasis"/>
          <w:rFonts w:cs="Arial"/>
        </w:rPr>
        <w:t>A</w:t>
      </w:r>
      <w:r w:rsidRPr="00E242A8">
        <w:rPr>
          <w:rStyle w:val="Emphasis"/>
          <w:rFonts w:cs="Arial"/>
        </w:rPr>
        <w:t xml:space="preserve">lternative </w:t>
      </w:r>
      <w:r w:rsidR="00CB00FA">
        <w:rPr>
          <w:rStyle w:val="Emphasis"/>
          <w:rFonts w:cs="Arial"/>
        </w:rPr>
        <w:t>D</w:t>
      </w:r>
      <w:r w:rsidRPr="00E242A8">
        <w:rPr>
          <w:rStyle w:val="Emphasis"/>
          <w:rFonts w:cs="Arial"/>
        </w:rPr>
        <w:t xml:space="preserve">ispute </w:t>
      </w:r>
      <w:r w:rsidR="00CB00FA">
        <w:rPr>
          <w:rStyle w:val="Emphasis"/>
          <w:rFonts w:cs="Arial"/>
        </w:rPr>
        <w:t>R</w:t>
      </w:r>
      <w:r w:rsidRPr="00E242A8">
        <w:rPr>
          <w:rStyle w:val="Emphasis"/>
          <w:rFonts w:cs="Arial"/>
        </w:rPr>
        <w:t xml:space="preserve">esolution </w:t>
      </w:r>
      <w:r w:rsidR="000C2AAF" w:rsidRPr="00E242A8">
        <w:rPr>
          <w:rStyle w:val="Emphasis"/>
          <w:rFonts w:cs="Arial"/>
        </w:rPr>
        <w:t>--</w:t>
      </w:r>
      <w:r w:rsidRPr="00E242A8">
        <w:rPr>
          <w:rFonts w:cs="Arial"/>
        </w:rPr>
        <w:t xml:space="preserve"> HB1951 </w:t>
      </w:r>
      <w:r w:rsidR="001F4A03" w:rsidRPr="00E242A8">
        <w:rPr>
          <w:rFonts w:cs="Arial"/>
        </w:rPr>
        <w:t xml:space="preserve">requires the commissioner to develop a policy to encourage negotiated rulemaking procedures and appropriate </w:t>
      </w:r>
      <w:r w:rsidR="005772A1">
        <w:rPr>
          <w:rFonts w:cs="Arial"/>
        </w:rPr>
        <w:t>a</w:t>
      </w:r>
      <w:r w:rsidRPr="00E242A8">
        <w:rPr>
          <w:rFonts w:cs="Arial"/>
        </w:rPr>
        <w:t xml:space="preserve">lternative </w:t>
      </w:r>
      <w:r w:rsidR="005772A1">
        <w:rPr>
          <w:rFonts w:cs="Arial"/>
        </w:rPr>
        <w:t>d</w:t>
      </w:r>
      <w:r w:rsidRPr="00E242A8">
        <w:rPr>
          <w:rFonts w:cs="Arial"/>
        </w:rPr>
        <w:t xml:space="preserve">ispute </w:t>
      </w:r>
      <w:r w:rsidR="005772A1">
        <w:rPr>
          <w:rFonts w:cs="Arial"/>
        </w:rPr>
        <w:t>r</w:t>
      </w:r>
      <w:r w:rsidRPr="00E242A8">
        <w:rPr>
          <w:rFonts w:cs="Arial"/>
        </w:rPr>
        <w:t>esolution</w:t>
      </w:r>
      <w:r w:rsidR="001F4A03" w:rsidRPr="00E242A8">
        <w:rPr>
          <w:rFonts w:cs="Arial"/>
        </w:rPr>
        <w:t xml:space="preserve"> procedures that conform, to the extent possible, to model guidelines issued by </w:t>
      </w:r>
      <w:r w:rsidR="002053C3">
        <w:rPr>
          <w:rFonts w:cs="Arial"/>
        </w:rPr>
        <w:t>the State Office of Administrative Hearings (</w:t>
      </w:r>
      <w:r w:rsidR="001F4A03" w:rsidRPr="00E242A8">
        <w:rPr>
          <w:rFonts w:cs="Arial"/>
        </w:rPr>
        <w:t>SOAH</w:t>
      </w:r>
      <w:r w:rsidR="002053C3">
        <w:rPr>
          <w:rFonts w:cs="Arial"/>
        </w:rPr>
        <w:t>)</w:t>
      </w:r>
      <w:r w:rsidR="001F4A03" w:rsidRPr="00E242A8">
        <w:rPr>
          <w:rFonts w:cs="Arial"/>
        </w:rPr>
        <w:t xml:space="preserve"> for state agencies.</w:t>
      </w:r>
    </w:p>
    <w:p w:rsidR="000B6763" w:rsidRPr="000B6763" w:rsidRDefault="000B6763" w:rsidP="00831B23">
      <w:pPr>
        <w:ind w:left="1440" w:firstLine="0"/>
        <w:rPr>
          <w:rStyle w:val="Emphasis"/>
          <w:rFonts w:cs="Arial"/>
          <w:b w:val="0"/>
          <w:i w:val="0"/>
        </w:rPr>
      </w:pPr>
    </w:p>
    <w:p w:rsidR="000B6763" w:rsidRPr="00E242A8" w:rsidRDefault="00CD3462" w:rsidP="00831B23">
      <w:pPr>
        <w:ind w:left="1440" w:firstLine="0"/>
        <w:rPr>
          <w:rFonts w:cs="Arial"/>
        </w:rPr>
      </w:pPr>
      <w:r>
        <w:rPr>
          <w:rStyle w:val="Emphasis"/>
          <w:rFonts w:cs="Arial"/>
        </w:rPr>
        <w:t xml:space="preserve">Health </w:t>
      </w:r>
      <w:r w:rsidR="00CB00FA">
        <w:rPr>
          <w:rStyle w:val="Emphasis"/>
          <w:rFonts w:cs="Arial"/>
        </w:rPr>
        <w:t>I</w:t>
      </w:r>
      <w:r>
        <w:rPr>
          <w:rStyle w:val="Emphasis"/>
          <w:rFonts w:cs="Arial"/>
        </w:rPr>
        <w:t xml:space="preserve">nsurance </w:t>
      </w:r>
      <w:r w:rsidR="00CB00FA">
        <w:rPr>
          <w:rStyle w:val="Emphasis"/>
          <w:rFonts w:cs="Arial"/>
        </w:rPr>
        <w:t>R</w:t>
      </w:r>
      <w:r>
        <w:rPr>
          <w:rStyle w:val="Emphasis"/>
          <w:rFonts w:cs="Arial"/>
        </w:rPr>
        <w:t>a</w:t>
      </w:r>
      <w:r w:rsidR="000B6763">
        <w:rPr>
          <w:rStyle w:val="Emphasis"/>
          <w:rFonts w:cs="Arial"/>
        </w:rPr>
        <w:t xml:space="preserve">te </w:t>
      </w:r>
      <w:r w:rsidR="00CB00FA">
        <w:rPr>
          <w:rStyle w:val="Emphasis"/>
          <w:rFonts w:cs="Arial"/>
        </w:rPr>
        <w:t>I</w:t>
      </w:r>
      <w:r>
        <w:rPr>
          <w:rStyle w:val="Emphasis"/>
          <w:rFonts w:cs="Arial"/>
        </w:rPr>
        <w:t xml:space="preserve">ncrease </w:t>
      </w:r>
      <w:r w:rsidR="00CB00FA">
        <w:rPr>
          <w:rStyle w:val="Emphasis"/>
          <w:rFonts w:cs="Arial"/>
        </w:rPr>
        <w:t>N</w:t>
      </w:r>
      <w:r>
        <w:rPr>
          <w:rStyle w:val="Emphasis"/>
          <w:rFonts w:cs="Arial"/>
        </w:rPr>
        <w:t>otices</w:t>
      </w:r>
      <w:r w:rsidR="000B6763">
        <w:rPr>
          <w:rStyle w:val="Emphasis"/>
          <w:rFonts w:cs="Arial"/>
        </w:rPr>
        <w:t xml:space="preserve"> –</w:t>
      </w:r>
      <w:r w:rsidR="000B6763">
        <w:rPr>
          <w:rFonts w:cs="Arial"/>
        </w:rPr>
        <w:t xml:space="preserve"> </w:t>
      </w:r>
      <w:r w:rsidR="00E97435">
        <w:rPr>
          <w:rFonts w:cs="Arial"/>
        </w:rPr>
        <w:t>HB1951 requires that at least a 60-day advance written notice of a premium rate increase be given to the insured/enrollee under an individual accident and health policy or health maintenance organization evidence of coverage and to a small employer under a small employer health benefit plan. The notice must include the dollar amount of the premium at the time of notice, the dollar amount of the premium after the rate increase, the percentage of change between the premium rate at the time of the notice and the new increased rate, the effective date of the increase, contact information for TDI, information concerning filing complaints, contact information for the Texas Consumer Health Assistance Program, and the addresses for obtaining additional information regarding rate increase justifications</w:t>
      </w:r>
      <w:r w:rsidR="004C3DE9">
        <w:rPr>
          <w:rFonts w:cs="Arial"/>
        </w:rPr>
        <w:t>.</w:t>
      </w:r>
    </w:p>
    <w:p w:rsidR="000B6763" w:rsidRDefault="000B6763" w:rsidP="00831B23">
      <w:pPr>
        <w:ind w:left="1440" w:firstLine="0"/>
        <w:rPr>
          <w:rFonts w:cs="Arial"/>
        </w:rPr>
      </w:pPr>
    </w:p>
    <w:p w:rsidR="00555422" w:rsidRDefault="005E5853" w:rsidP="00831B23">
      <w:pPr>
        <w:ind w:left="1440" w:firstLine="0"/>
        <w:rPr>
          <w:rFonts w:cs="Arial"/>
        </w:rPr>
      </w:pPr>
      <w:r w:rsidRPr="00E242A8">
        <w:rPr>
          <w:rFonts w:cs="Arial"/>
        </w:rPr>
        <w:t>Effective September 1, 2011</w:t>
      </w:r>
      <w:r w:rsidR="00BE6D59" w:rsidRPr="00E242A8">
        <w:rPr>
          <w:rFonts w:cs="Arial"/>
        </w:rPr>
        <w:t>; a</w:t>
      </w:r>
      <w:r w:rsidRPr="00E242A8">
        <w:rPr>
          <w:rFonts w:cs="Arial"/>
        </w:rPr>
        <w:t>pplies only to an insurance policy,</w:t>
      </w:r>
      <w:r w:rsidR="003770F2" w:rsidRPr="00E242A8">
        <w:rPr>
          <w:rFonts w:cs="Arial"/>
        </w:rPr>
        <w:t xml:space="preserve"> </w:t>
      </w:r>
      <w:r w:rsidRPr="00E242A8">
        <w:rPr>
          <w:rFonts w:cs="Arial"/>
        </w:rPr>
        <w:t>contract, or evidence of cov</w:t>
      </w:r>
      <w:r w:rsidR="003770F2" w:rsidRPr="00E242A8">
        <w:rPr>
          <w:rFonts w:cs="Arial"/>
        </w:rPr>
        <w:t>e</w:t>
      </w:r>
      <w:r w:rsidRPr="00E242A8">
        <w:rPr>
          <w:rFonts w:cs="Arial"/>
        </w:rPr>
        <w:t>rage that is delivered, issued for delivery, or renewed on or after January 1, 2012</w:t>
      </w:r>
      <w:r w:rsidR="004C3DE9">
        <w:rPr>
          <w:rFonts w:cs="Arial"/>
        </w:rPr>
        <w:t xml:space="preserve"> except as otherwise provided</w:t>
      </w:r>
      <w:r w:rsidRPr="00E242A8">
        <w:rPr>
          <w:rFonts w:cs="Arial"/>
        </w:rPr>
        <w:t>.</w:t>
      </w:r>
    </w:p>
    <w:p w:rsidR="000B6763" w:rsidRPr="00E242A8" w:rsidRDefault="000B6763" w:rsidP="00831B23">
      <w:pPr>
        <w:ind w:left="1440" w:firstLine="0"/>
        <w:rPr>
          <w:rFonts w:cs="Arial"/>
          <w:snapToGrid w:val="0"/>
          <w:szCs w:val="24"/>
        </w:rPr>
      </w:pPr>
    </w:p>
    <w:p w:rsidR="00555422" w:rsidRPr="00E242A8" w:rsidRDefault="008D58AD" w:rsidP="007166BF">
      <w:pPr>
        <w:ind w:left="1440" w:hanging="1440"/>
        <w:rPr>
          <w:rFonts w:cs="Arial"/>
        </w:rPr>
      </w:pPr>
      <w:hyperlink r:id="rId16" w:history="1">
        <w:r w:rsidR="0072324E" w:rsidRPr="00E242A8">
          <w:rPr>
            <w:rStyle w:val="Hyperlink"/>
            <w:rFonts w:cs="Arial"/>
            <w:snapToGrid w:val="0"/>
            <w:szCs w:val="24"/>
          </w:rPr>
          <w:t>HB2069</w:t>
        </w:r>
      </w:hyperlink>
      <w:r w:rsidR="0072324E" w:rsidRPr="00E242A8">
        <w:rPr>
          <w:rFonts w:cs="Arial"/>
          <w:snapToGrid w:val="0"/>
          <w:color w:val="000000"/>
          <w:szCs w:val="24"/>
        </w:rPr>
        <w:tab/>
      </w:r>
      <w:r w:rsidR="0072324E" w:rsidRPr="00E242A8">
        <w:rPr>
          <w:rStyle w:val="Emphasis"/>
          <w:rFonts w:cs="Arial"/>
        </w:rPr>
        <w:t xml:space="preserve">Authority </w:t>
      </w:r>
      <w:r w:rsidR="006A4BEA">
        <w:rPr>
          <w:rStyle w:val="Emphasis"/>
          <w:rFonts w:cs="Arial"/>
        </w:rPr>
        <w:t>o</w:t>
      </w:r>
      <w:r w:rsidR="0072324E" w:rsidRPr="00E242A8">
        <w:rPr>
          <w:rStyle w:val="Emphasis"/>
          <w:rFonts w:cs="Arial"/>
        </w:rPr>
        <w:t xml:space="preserve">f </w:t>
      </w:r>
      <w:r w:rsidR="00CB00FA">
        <w:rPr>
          <w:rStyle w:val="Emphasis"/>
          <w:rFonts w:cs="Arial"/>
        </w:rPr>
        <w:t>P</w:t>
      </w:r>
      <w:r w:rsidR="0072324E" w:rsidRPr="00E242A8">
        <w:rPr>
          <w:rStyle w:val="Emphasis"/>
          <w:rFonts w:cs="Arial"/>
        </w:rPr>
        <w:t>harmacist</w:t>
      </w:r>
      <w:r w:rsidR="00CD3462">
        <w:rPr>
          <w:rStyle w:val="Emphasis"/>
          <w:rFonts w:cs="Arial"/>
        </w:rPr>
        <w:t>s</w:t>
      </w:r>
      <w:r w:rsidR="0072324E" w:rsidRPr="00E242A8">
        <w:rPr>
          <w:rStyle w:val="Emphasis"/>
          <w:rFonts w:cs="Arial"/>
        </w:rPr>
        <w:t xml:space="preserve"> </w:t>
      </w:r>
      <w:r w:rsidR="006A4BEA">
        <w:rPr>
          <w:rStyle w:val="Emphasis"/>
          <w:rFonts w:cs="Arial"/>
        </w:rPr>
        <w:t>t</w:t>
      </w:r>
      <w:r w:rsidR="0072324E" w:rsidRPr="00E242A8">
        <w:rPr>
          <w:rStyle w:val="Emphasis"/>
          <w:rFonts w:cs="Arial"/>
        </w:rPr>
        <w:t xml:space="preserve">o </w:t>
      </w:r>
      <w:r w:rsidR="00CB00FA">
        <w:rPr>
          <w:rStyle w:val="Emphasis"/>
          <w:rFonts w:cs="Arial"/>
        </w:rPr>
        <w:t>A</w:t>
      </w:r>
      <w:r w:rsidR="0072324E" w:rsidRPr="00E242A8">
        <w:rPr>
          <w:rStyle w:val="Emphasis"/>
          <w:rFonts w:cs="Arial"/>
        </w:rPr>
        <w:t xml:space="preserve">ccelerate </w:t>
      </w:r>
      <w:r w:rsidR="00CB00FA">
        <w:rPr>
          <w:rStyle w:val="Emphasis"/>
          <w:rFonts w:cs="Arial"/>
        </w:rPr>
        <w:t>R</w:t>
      </w:r>
      <w:r w:rsidR="0072324E" w:rsidRPr="00E242A8">
        <w:rPr>
          <w:rStyle w:val="Emphasis"/>
          <w:rFonts w:cs="Arial"/>
        </w:rPr>
        <w:t xml:space="preserve">efills -- </w:t>
      </w:r>
      <w:r w:rsidR="0072324E" w:rsidRPr="00E242A8">
        <w:rPr>
          <w:rFonts w:cs="Arial"/>
        </w:rPr>
        <w:t xml:space="preserve">HB2069 </w:t>
      </w:r>
      <w:r w:rsidR="000B6763">
        <w:t>authorizes a pharmacist to dispense up to a 90-day supply of dangerous drugs, pursuant to a valid prescription that specifies a lesser amount</w:t>
      </w:r>
      <w:r w:rsidR="00D50884">
        <w:t xml:space="preserve"> followed by refills of that amount</w:t>
      </w:r>
      <w:r w:rsidR="000B6763">
        <w:t>, and accelerate refills upon certain conditions</w:t>
      </w:r>
      <w:r w:rsidR="004C3DE9">
        <w:t>.</w:t>
      </w:r>
      <w:r w:rsidR="004C3DE9" w:rsidRPr="004C3DE9">
        <w:t xml:space="preserve"> </w:t>
      </w:r>
      <w:r w:rsidR="004C3DE9">
        <w:t xml:space="preserve">Those conditions include that the total quantity of drugs dispensed must not exceed the total quantity authorized by the prescriber on the original prescription, including refills; </w:t>
      </w:r>
      <w:r w:rsidR="004C3DE9" w:rsidRPr="00147928">
        <w:t>the patient</w:t>
      </w:r>
      <w:r w:rsidR="004C3DE9">
        <w:t xml:space="preserve"> must consent</w:t>
      </w:r>
      <w:r w:rsidR="004C3DE9" w:rsidRPr="00147928">
        <w:t xml:space="preserve"> to the dispensing of up to a 90-day supply and the physician </w:t>
      </w:r>
      <w:r w:rsidR="004C3DE9">
        <w:t>must be</w:t>
      </w:r>
      <w:r w:rsidR="004C3DE9" w:rsidRPr="00147928">
        <w:t xml:space="preserve"> notified electronically or by telephone; </w:t>
      </w:r>
      <w:r w:rsidR="004C3DE9" w:rsidRPr="00F87385">
        <w:t>and the physician has not specified on the prescription that dispensing the prescription in an initial amount followed by periodic refills is medically necessary.</w:t>
      </w:r>
      <w:r w:rsidR="004C3DE9">
        <w:t xml:space="preserve"> Additionally, the dangerous drug must not be a psychotropic drug, and the patient must be at least 18 years of age.</w:t>
      </w:r>
    </w:p>
    <w:p w:rsidR="00434BD4" w:rsidRPr="00E242A8" w:rsidRDefault="00434BD4" w:rsidP="00831B23">
      <w:pPr>
        <w:ind w:left="1440" w:firstLine="0"/>
        <w:rPr>
          <w:rFonts w:cs="Arial"/>
        </w:rPr>
      </w:pPr>
    </w:p>
    <w:p w:rsidR="00434BD4" w:rsidRPr="00E242A8" w:rsidRDefault="00434BD4" w:rsidP="00434BD4">
      <w:pPr>
        <w:ind w:left="1440" w:firstLine="0"/>
        <w:rPr>
          <w:rFonts w:cs="Arial"/>
        </w:rPr>
      </w:pPr>
      <w:r w:rsidRPr="00E242A8">
        <w:rPr>
          <w:rFonts w:cs="Arial"/>
        </w:rPr>
        <w:t xml:space="preserve">Effective </w:t>
      </w:r>
      <w:r w:rsidR="00377FC7" w:rsidRPr="00E242A8">
        <w:rPr>
          <w:rFonts w:cs="Arial"/>
        </w:rPr>
        <w:t>September 1, 2011.</w:t>
      </w:r>
    </w:p>
    <w:p w:rsidR="0034151A" w:rsidRPr="00E242A8" w:rsidRDefault="0034151A" w:rsidP="00831B23">
      <w:pPr>
        <w:ind w:left="1440" w:firstLine="0"/>
        <w:rPr>
          <w:rFonts w:cs="Arial"/>
        </w:rPr>
      </w:pPr>
    </w:p>
    <w:p w:rsidR="0034151A" w:rsidRPr="00E242A8" w:rsidRDefault="008D58AD" w:rsidP="007166BF">
      <w:pPr>
        <w:ind w:left="1440" w:hanging="1440"/>
        <w:rPr>
          <w:rFonts w:cs="Arial"/>
        </w:rPr>
      </w:pPr>
      <w:hyperlink r:id="rId17" w:history="1">
        <w:proofErr w:type="gramStart"/>
        <w:r w:rsidR="0034151A" w:rsidRPr="00E242A8">
          <w:rPr>
            <w:rStyle w:val="Hyperlink"/>
            <w:rFonts w:cs="Arial"/>
          </w:rPr>
          <w:t>HB2098</w:t>
        </w:r>
      </w:hyperlink>
      <w:r w:rsidR="0034151A" w:rsidRPr="00E242A8">
        <w:rPr>
          <w:rFonts w:cs="Arial"/>
        </w:rPr>
        <w:tab/>
      </w:r>
      <w:r w:rsidR="00CD3462">
        <w:rPr>
          <w:rStyle w:val="Emphasis"/>
          <w:rFonts w:cs="Arial"/>
        </w:rPr>
        <w:t xml:space="preserve">Business </w:t>
      </w:r>
      <w:r w:rsidR="00CB00FA">
        <w:rPr>
          <w:rStyle w:val="Emphasis"/>
          <w:rFonts w:cs="Arial"/>
        </w:rPr>
        <w:t>S</w:t>
      </w:r>
      <w:r w:rsidR="00CD3462">
        <w:rPr>
          <w:rStyle w:val="Emphasis"/>
          <w:rFonts w:cs="Arial"/>
        </w:rPr>
        <w:t xml:space="preserve">tructures </w:t>
      </w:r>
      <w:r w:rsidR="006A4BEA">
        <w:rPr>
          <w:rStyle w:val="Emphasis"/>
          <w:rFonts w:cs="Arial"/>
        </w:rPr>
        <w:t>o</w:t>
      </w:r>
      <w:r w:rsidR="00CD3462">
        <w:rPr>
          <w:rStyle w:val="Emphasis"/>
          <w:rFonts w:cs="Arial"/>
        </w:rPr>
        <w:t xml:space="preserve">f </w:t>
      </w:r>
      <w:r w:rsidR="00CB00FA">
        <w:rPr>
          <w:rStyle w:val="Emphasis"/>
          <w:rFonts w:cs="Arial"/>
        </w:rPr>
        <w:t>P</w:t>
      </w:r>
      <w:r w:rsidR="00CD3462">
        <w:rPr>
          <w:rStyle w:val="Emphasis"/>
          <w:rFonts w:cs="Arial"/>
        </w:rPr>
        <w:t xml:space="preserve">roviders </w:t>
      </w:r>
      <w:r w:rsidR="00434BD4" w:rsidRPr="00E242A8">
        <w:rPr>
          <w:rStyle w:val="Emphasis"/>
          <w:rFonts w:cs="Arial"/>
        </w:rPr>
        <w:t xml:space="preserve">-- </w:t>
      </w:r>
      <w:r w:rsidR="004C3DE9" w:rsidRPr="00E242A8">
        <w:rPr>
          <w:rFonts w:cs="Arial"/>
        </w:rPr>
        <w:t xml:space="preserve">HB2098 permits physicians and physicians' assistants to form a corporation, partnership, professional association, or professional limited liability company </w:t>
      </w:r>
      <w:r w:rsidR="004C3DE9">
        <w:rPr>
          <w:rFonts w:cs="Arial"/>
        </w:rPr>
        <w:t xml:space="preserve">to perform a professional service that falls within the scope of practice of those practitioners </w:t>
      </w:r>
      <w:r w:rsidR="004C3DE9" w:rsidRPr="00E242A8">
        <w:rPr>
          <w:rFonts w:cs="Arial"/>
        </w:rPr>
        <w:t>under the Business Organizations Code or a joint</w:t>
      </w:r>
      <w:r w:rsidR="004C3DE9">
        <w:rPr>
          <w:rFonts w:cs="Arial"/>
        </w:rPr>
        <w:t xml:space="preserve">ly owned entity </w:t>
      </w:r>
      <w:r w:rsidR="004C3DE9" w:rsidRPr="00E242A8">
        <w:rPr>
          <w:rFonts w:cs="Arial"/>
        </w:rPr>
        <w:t>under the Occupations Code.</w:t>
      </w:r>
      <w:proofErr w:type="gramEnd"/>
      <w:r w:rsidR="004C3DE9" w:rsidRPr="00E242A8">
        <w:rPr>
          <w:rFonts w:cs="Arial"/>
        </w:rPr>
        <w:t xml:space="preserve"> Organizers must </w:t>
      </w:r>
      <w:r w:rsidR="004C3DE9">
        <w:rPr>
          <w:rFonts w:cs="Arial"/>
        </w:rPr>
        <w:t>be</w:t>
      </w:r>
      <w:r w:rsidR="004C3DE9" w:rsidRPr="00E242A8">
        <w:rPr>
          <w:rFonts w:cs="Arial"/>
        </w:rPr>
        <w:t xml:space="preserve"> physician</w:t>
      </w:r>
      <w:r w:rsidR="004C3DE9">
        <w:rPr>
          <w:rFonts w:cs="Arial"/>
        </w:rPr>
        <w:t>s and ensure that a physician</w:t>
      </w:r>
      <w:r w:rsidR="004C3DE9" w:rsidRPr="00E242A8">
        <w:rPr>
          <w:rFonts w:cs="Arial"/>
        </w:rPr>
        <w:t xml:space="preserve"> manages and controls the </w:t>
      </w:r>
      <w:r w:rsidR="004C3DE9">
        <w:rPr>
          <w:rFonts w:cs="Arial"/>
        </w:rPr>
        <w:t xml:space="preserve">entity, as well as </w:t>
      </w:r>
      <w:r w:rsidR="004C3DE9" w:rsidRPr="00E242A8">
        <w:rPr>
          <w:rFonts w:cs="Arial"/>
        </w:rPr>
        <w:t>perform</w:t>
      </w:r>
      <w:r w:rsidR="00744154">
        <w:rPr>
          <w:rFonts w:cs="Arial"/>
        </w:rPr>
        <w:t>s</w:t>
      </w:r>
      <w:r w:rsidR="004C3DE9" w:rsidRPr="00E242A8">
        <w:rPr>
          <w:rFonts w:cs="Arial"/>
        </w:rPr>
        <w:t xml:space="preserve"> professional services that fall within the scope of practice. Ownership interest of physicians' assistants is limited to a minority share</w:t>
      </w:r>
      <w:r w:rsidR="004C3DE9">
        <w:rPr>
          <w:rFonts w:cs="Arial"/>
        </w:rPr>
        <w:t>.</w:t>
      </w:r>
    </w:p>
    <w:p w:rsidR="00434BD4" w:rsidRPr="00E242A8" w:rsidRDefault="00434BD4" w:rsidP="00831B23">
      <w:pPr>
        <w:ind w:left="1440" w:firstLine="0"/>
        <w:rPr>
          <w:rFonts w:cs="Arial"/>
        </w:rPr>
      </w:pPr>
    </w:p>
    <w:p w:rsidR="00434BD4" w:rsidRPr="00E242A8" w:rsidRDefault="00434BD4" w:rsidP="00434BD4">
      <w:pPr>
        <w:ind w:left="1440" w:firstLine="0"/>
        <w:rPr>
          <w:rFonts w:cs="Arial"/>
        </w:rPr>
      </w:pPr>
      <w:r w:rsidRPr="00E242A8">
        <w:rPr>
          <w:rFonts w:cs="Arial"/>
        </w:rPr>
        <w:t>Effective June 17, 2011.</w:t>
      </w:r>
    </w:p>
    <w:p w:rsidR="00377FC7" w:rsidRPr="00E242A8" w:rsidRDefault="00377FC7" w:rsidP="00434BD4">
      <w:pPr>
        <w:ind w:left="1440" w:firstLine="0"/>
        <w:rPr>
          <w:rFonts w:cs="Arial"/>
        </w:rPr>
      </w:pPr>
    </w:p>
    <w:p w:rsidR="001A3C44" w:rsidRPr="00E242A8" w:rsidRDefault="008D58AD" w:rsidP="00377FC7">
      <w:pPr>
        <w:ind w:left="1440" w:hanging="1440"/>
        <w:rPr>
          <w:rFonts w:cs="Arial"/>
        </w:rPr>
      </w:pPr>
      <w:hyperlink r:id="rId18" w:history="1">
        <w:r w:rsidR="00821A41" w:rsidRPr="00E242A8">
          <w:rPr>
            <w:rStyle w:val="Hyperlink"/>
            <w:rFonts w:cs="Arial"/>
            <w:szCs w:val="24"/>
          </w:rPr>
          <w:t>HB2154</w:t>
        </w:r>
      </w:hyperlink>
      <w:r w:rsidR="00821A41" w:rsidRPr="00E242A8">
        <w:rPr>
          <w:rFonts w:cs="Arial"/>
          <w:color w:val="002240"/>
          <w:szCs w:val="24"/>
        </w:rPr>
        <w:tab/>
      </w:r>
      <w:r w:rsidR="00821A41" w:rsidRPr="00E242A8">
        <w:rPr>
          <w:rStyle w:val="Emphasis"/>
          <w:rFonts w:cs="Arial"/>
        </w:rPr>
        <w:t xml:space="preserve">Continuing </w:t>
      </w:r>
      <w:r w:rsidR="00CB00FA">
        <w:rPr>
          <w:rStyle w:val="Emphasis"/>
          <w:rFonts w:cs="Arial"/>
        </w:rPr>
        <w:t>E</w:t>
      </w:r>
      <w:r w:rsidR="00821A41" w:rsidRPr="00E242A8">
        <w:rPr>
          <w:rStyle w:val="Emphasis"/>
          <w:rFonts w:cs="Arial"/>
        </w:rPr>
        <w:t xml:space="preserve">ducation </w:t>
      </w:r>
      <w:r w:rsidR="006A4BEA">
        <w:rPr>
          <w:rStyle w:val="Emphasis"/>
          <w:rFonts w:cs="Arial"/>
        </w:rPr>
        <w:t>f</w:t>
      </w:r>
      <w:r w:rsidR="00821A41" w:rsidRPr="00E242A8">
        <w:rPr>
          <w:rStyle w:val="Emphasis"/>
          <w:rFonts w:cs="Arial"/>
        </w:rPr>
        <w:t xml:space="preserve">or </w:t>
      </w:r>
      <w:r w:rsidR="00CB00FA">
        <w:rPr>
          <w:rStyle w:val="Emphasis"/>
          <w:rFonts w:cs="Arial"/>
        </w:rPr>
        <w:t>A</w:t>
      </w:r>
      <w:r w:rsidR="00821A41" w:rsidRPr="00E242A8">
        <w:rPr>
          <w:rStyle w:val="Emphasis"/>
          <w:rFonts w:cs="Arial"/>
        </w:rPr>
        <w:t>gents --</w:t>
      </w:r>
      <w:r w:rsidR="00821A41" w:rsidRPr="00E242A8">
        <w:rPr>
          <w:rFonts w:cs="Arial"/>
          <w:color w:val="002240"/>
          <w:szCs w:val="24"/>
        </w:rPr>
        <w:t xml:space="preserve"> </w:t>
      </w:r>
      <w:r w:rsidR="004C3DE9" w:rsidRPr="00E242A8">
        <w:rPr>
          <w:rFonts w:cs="Arial"/>
        </w:rPr>
        <w:t>HB2154 changes the</w:t>
      </w:r>
      <w:r w:rsidR="004C3DE9">
        <w:rPr>
          <w:rFonts w:cs="Arial"/>
        </w:rPr>
        <w:t xml:space="preserve"> continuing education </w:t>
      </w:r>
      <w:r w:rsidR="004C3DE9" w:rsidRPr="00E242A8">
        <w:rPr>
          <w:rFonts w:cs="Arial"/>
        </w:rPr>
        <w:t xml:space="preserve">requirement </w:t>
      </w:r>
      <w:r w:rsidR="004C3DE9">
        <w:rPr>
          <w:rFonts w:cs="Arial"/>
        </w:rPr>
        <w:t>for</w:t>
      </w:r>
      <w:r w:rsidR="004C3DE9" w:rsidRPr="00E242A8">
        <w:rPr>
          <w:rFonts w:cs="Arial"/>
        </w:rPr>
        <w:t xml:space="preserve"> agents selling annuities </w:t>
      </w:r>
      <w:r w:rsidR="004C3DE9">
        <w:rPr>
          <w:rFonts w:cs="Arial"/>
        </w:rPr>
        <w:t xml:space="preserve">from </w:t>
      </w:r>
      <w:r w:rsidR="004C3DE9" w:rsidRPr="00E242A8">
        <w:rPr>
          <w:rFonts w:cs="Arial"/>
        </w:rPr>
        <w:t>four hours of annuity-</w:t>
      </w:r>
      <w:r w:rsidR="004C3DE9">
        <w:rPr>
          <w:rFonts w:cs="Arial"/>
        </w:rPr>
        <w:t xml:space="preserve">related continuing education </w:t>
      </w:r>
      <w:r w:rsidR="004C3DE9" w:rsidRPr="00E242A8">
        <w:rPr>
          <w:rFonts w:cs="Arial"/>
        </w:rPr>
        <w:t xml:space="preserve">annually to eight hours </w:t>
      </w:r>
      <w:r w:rsidR="004C3DE9">
        <w:rPr>
          <w:rFonts w:cs="Arial"/>
        </w:rPr>
        <w:t xml:space="preserve">of </w:t>
      </w:r>
      <w:r w:rsidR="00F66C99" w:rsidRPr="00E242A8">
        <w:rPr>
          <w:rFonts w:cs="Arial"/>
        </w:rPr>
        <w:t>annuity-</w:t>
      </w:r>
      <w:r w:rsidR="00F66C99">
        <w:rPr>
          <w:rFonts w:cs="Arial"/>
        </w:rPr>
        <w:t xml:space="preserve">related </w:t>
      </w:r>
      <w:r w:rsidR="004C3DE9">
        <w:rPr>
          <w:rFonts w:cs="Arial"/>
        </w:rPr>
        <w:t>continuing education biennially</w:t>
      </w:r>
      <w:r w:rsidR="004C3DE9" w:rsidRPr="00E242A8">
        <w:rPr>
          <w:rFonts w:cs="Arial"/>
        </w:rPr>
        <w:t>.</w:t>
      </w:r>
    </w:p>
    <w:p w:rsidR="00821A41" w:rsidRPr="00E242A8" w:rsidRDefault="00821A41" w:rsidP="00831B23">
      <w:pPr>
        <w:ind w:left="1440" w:firstLine="0"/>
        <w:rPr>
          <w:rFonts w:cs="Arial"/>
        </w:rPr>
      </w:pPr>
    </w:p>
    <w:p w:rsidR="00821A41" w:rsidRPr="00E242A8" w:rsidRDefault="00546AF8" w:rsidP="00821A41">
      <w:pPr>
        <w:ind w:left="1440" w:firstLine="0"/>
        <w:rPr>
          <w:rFonts w:cs="Arial"/>
        </w:rPr>
      </w:pPr>
      <w:r>
        <w:rPr>
          <w:rFonts w:cs="Arial"/>
        </w:rPr>
        <w:t>Effective September 1, 2011.</w:t>
      </w:r>
    </w:p>
    <w:p w:rsidR="00AD0DEB" w:rsidRPr="00E242A8" w:rsidRDefault="00AD0DEB" w:rsidP="00821A41">
      <w:pPr>
        <w:ind w:left="1440" w:firstLine="0"/>
        <w:rPr>
          <w:rFonts w:cs="Arial"/>
        </w:rPr>
      </w:pPr>
    </w:p>
    <w:p w:rsidR="001A3C44" w:rsidRPr="00E242A8" w:rsidRDefault="008D58AD" w:rsidP="00AD0DEB">
      <w:pPr>
        <w:ind w:left="1440" w:hanging="1440"/>
        <w:rPr>
          <w:rFonts w:cs="Arial"/>
        </w:rPr>
      </w:pPr>
      <w:hyperlink r:id="rId19" w:history="1">
        <w:r w:rsidR="00AD0DEB" w:rsidRPr="00E242A8">
          <w:rPr>
            <w:rStyle w:val="Hyperlink"/>
            <w:rFonts w:cs="Arial"/>
            <w:szCs w:val="24"/>
          </w:rPr>
          <w:t>HB2172</w:t>
        </w:r>
      </w:hyperlink>
      <w:r w:rsidR="00AD0DEB" w:rsidRPr="00E242A8">
        <w:rPr>
          <w:rFonts w:cs="Arial"/>
          <w:color w:val="002240"/>
          <w:szCs w:val="24"/>
        </w:rPr>
        <w:tab/>
      </w:r>
      <w:r w:rsidR="00AD0DEB" w:rsidRPr="00E242A8">
        <w:rPr>
          <w:rStyle w:val="Emphasis"/>
          <w:rFonts w:cs="Arial"/>
        </w:rPr>
        <w:t xml:space="preserve">Eligible </w:t>
      </w:r>
      <w:r w:rsidR="00CB00FA">
        <w:rPr>
          <w:rStyle w:val="Emphasis"/>
          <w:rFonts w:cs="Arial"/>
        </w:rPr>
        <w:t>C</w:t>
      </w:r>
      <w:r w:rsidR="00AD0DEB" w:rsidRPr="00E242A8">
        <w:rPr>
          <w:rStyle w:val="Emphasis"/>
          <w:rFonts w:cs="Arial"/>
        </w:rPr>
        <w:t xml:space="preserve">hildren </w:t>
      </w:r>
      <w:r w:rsidR="00CB00FA">
        <w:rPr>
          <w:rStyle w:val="Emphasis"/>
          <w:rFonts w:cs="Arial"/>
        </w:rPr>
        <w:t>U</w:t>
      </w:r>
      <w:r w:rsidR="00AD0DEB" w:rsidRPr="00E242A8">
        <w:rPr>
          <w:rStyle w:val="Emphasis"/>
          <w:rFonts w:cs="Arial"/>
        </w:rPr>
        <w:t xml:space="preserve">nder </w:t>
      </w:r>
      <w:r w:rsidR="00CB00FA">
        <w:rPr>
          <w:rStyle w:val="Emphasis"/>
          <w:rFonts w:cs="Arial"/>
        </w:rPr>
        <w:t>G</w:t>
      </w:r>
      <w:r w:rsidR="00AD0DEB" w:rsidRPr="00E242A8">
        <w:rPr>
          <w:rStyle w:val="Emphasis"/>
          <w:rFonts w:cs="Arial"/>
        </w:rPr>
        <w:t xml:space="preserve">roup </w:t>
      </w:r>
      <w:r w:rsidR="00CB00FA">
        <w:rPr>
          <w:rStyle w:val="Emphasis"/>
          <w:rFonts w:cs="Arial"/>
        </w:rPr>
        <w:t>L</w:t>
      </w:r>
      <w:r w:rsidR="00AD0DEB" w:rsidRPr="00E242A8">
        <w:rPr>
          <w:rStyle w:val="Emphasis"/>
          <w:rFonts w:cs="Arial"/>
        </w:rPr>
        <w:t xml:space="preserve">ife </w:t>
      </w:r>
      <w:r w:rsidR="00CB00FA">
        <w:rPr>
          <w:rStyle w:val="Emphasis"/>
          <w:rFonts w:cs="Arial"/>
        </w:rPr>
        <w:t>I</w:t>
      </w:r>
      <w:r w:rsidR="00AD0DEB" w:rsidRPr="00E242A8">
        <w:rPr>
          <w:rStyle w:val="Emphasis"/>
          <w:rFonts w:cs="Arial"/>
        </w:rPr>
        <w:t xml:space="preserve">nsurance </w:t>
      </w:r>
      <w:r w:rsidR="00CB00FA">
        <w:rPr>
          <w:rStyle w:val="Emphasis"/>
          <w:rFonts w:cs="Arial"/>
        </w:rPr>
        <w:t>P</w:t>
      </w:r>
      <w:r w:rsidR="00AD0DEB" w:rsidRPr="00E242A8">
        <w:rPr>
          <w:rStyle w:val="Emphasis"/>
          <w:rFonts w:cs="Arial"/>
        </w:rPr>
        <w:t xml:space="preserve">olicies </w:t>
      </w:r>
      <w:r w:rsidR="000C2AAF" w:rsidRPr="00E242A8">
        <w:rPr>
          <w:rStyle w:val="Emphasis"/>
          <w:rFonts w:cs="Arial"/>
        </w:rPr>
        <w:t>--</w:t>
      </w:r>
      <w:r w:rsidR="00AD0DEB" w:rsidRPr="00E242A8">
        <w:rPr>
          <w:rFonts w:cs="Arial"/>
          <w:b/>
          <w:color w:val="002240"/>
          <w:szCs w:val="24"/>
        </w:rPr>
        <w:t xml:space="preserve"> </w:t>
      </w:r>
      <w:r w:rsidR="004C3DE9" w:rsidRPr="00E242A8">
        <w:rPr>
          <w:rFonts w:cs="Arial"/>
          <w:color w:val="002240"/>
          <w:szCs w:val="24"/>
        </w:rPr>
        <w:t xml:space="preserve">HB2172 </w:t>
      </w:r>
      <w:r w:rsidR="004C3DE9" w:rsidRPr="00E242A8">
        <w:rPr>
          <w:rFonts w:cs="Arial"/>
        </w:rPr>
        <w:t xml:space="preserve">expands </w:t>
      </w:r>
      <w:r w:rsidR="004C3DE9">
        <w:rPr>
          <w:rFonts w:cs="Arial"/>
        </w:rPr>
        <w:t>coverage</w:t>
      </w:r>
      <w:r w:rsidR="004C3DE9" w:rsidRPr="00E242A8">
        <w:rPr>
          <w:rFonts w:cs="Arial"/>
        </w:rPr>
        <w:t xml:space="preserve"> eligibility </w:t>
      </w:r>
      <w:r w:rsidR="004C3DE9">
        <w:rPr>
          <w:rFonts w:cs="Arial"/>
        </w:rPr>
        <w:t>for</w:t>
      </w:r>
      <w:r w:rsidR="004C3DE9" w:rsidRPr="00E242A8">
        <w:rPr>
          <w:rFonts w:cs="Arial"/>
        </w:rPr>
        <w:t xml:space="preserve"> </w:t>
      </w:r>
      <w:r w:rsidR="004C3DE9">
        <w:rPr>
          <w:rFonts w:cs="Arial"/>
        </w:rPr>
        <w:t xml:space="preserve">certain </w:t>
      </w:r>
      <w:r w:rsidR="004C3DE9" w:rsidRPr="00E242A8">
        <w:rPr>
          <w:rFonts w:cs="Arial"/>
        </w:rPr>
        <w:t>children under group life insurance policies</w:t>
      </w:r>
      <w:r w:rsidR="004C3DE9">
        <w:rPr>
          <w:rFonts w:cs="Arial"/>
        </w:rPr>
        <w:t xml:space="preserve">. </w:t>
      </w:r>
      <w:r w:rsidR="004C3DE9" w:rsidRPr="00E242A8">
        <w:rPr>
          <w:rFonts w:cs="Arial"/>
        </w:rPr>
        <w:t xml:space="preserve">The bill eliminates the requirement that </w:t>
      </w:r>
      <w:r w:rsidR="004C3DE9">
        <w:rPr>
          <w:rFonts w:cs="Arial"/>
        </w:rPr>
        <w:t>eligible children</w:t>
      </w:r>
      <w:r w:rsidR="004C3DE9" w:rsidRPr="00E242A8">
        <w:rPr>
          <w:rFonts w:cs="Arial"/>
        </w:rPr>
        <w:t xml:space="preserve"> b</w:t>
      </w:r>
      <w:r w:rsidR="004C3DE9">
        <w:rPr>
          <w:rFonts w:cs="Arial"/>
        </w:rPr>
        <w:t xml:space="preserve">e unmarried </w:t>
      </w:r>
      <w:r w:rsidR="004C3DE9" w:rsidRPr="004C3DE9">
        <w:rPr>
          <w:rFonts w:eastAsia="Calibri" w:cs="Arial"/>
          <w:color w:val="auto"/>
        </w:rPr>
        <w:t>and younger than 25 years of age</w:t>
      </w:r>
      <w:r w:rsidR="004C3DE9">
        <w:rPr>
          <w:rFonts w:cs="Arial"/>
        </w:rPr>
        <w:t xml:space="preserve">. It permits the coverage </w:t>
      </w:r>
      <w:r w:rsidR="004C3DE9" w:rsidRPr="004C3DE9">
        <w:rPr>
          <w:rFonts w:eastAsia="Calibri" w:cs="Arial"/>
          <w:color w:val="auto"/>
        </w:rPr>
        <w:t>to extend to</w:t>
      </w:r>
      <w:r w:rsidR="004C3DE9">
        <w:rPr>
          <w:rFonts w:cs="Arial"/>
        </w:rPr>
        <w:t xml:space="preserve"> an age older than 25 that is stated in the policy. </w:t>
      </w:r>
      <w:r w:rsidR="004C3DE9" w:rsidRPr="00E242A8">
        <w:rPr>
          <w:rFonts w:cs="Arial"/>
        </w:rPr>
        <w:t xml:space="preserve">It also </w:t>
      </w:r>
      <w:r w:rsidR="004C3DE9" w:rsidRPr="004C3DE9">
        <w:rPr>
          <w:rFonts w:eastAsia="Calibri" w:cs="Arial"/>
          <w:color w:val="auto"/>
        </w:rPr>
        <w:t xml:space="preserve">eliminates age and marital status </w:t>
      </w:r>
      <w:r w:rsidR="004C3DE9" w:rsidRPr="00E242A8">
        <w:rPr>
          <w:rFonts w:cs="Arial"/>
        </w:rPr>
        <w:t xml:space="preserve">eligibility requirements for natural or adopted grandchildren </w:t>
      </w:r>
      <w:r w:rsidR="004C3DE9" w:rsidRPr="004C3DE9">
        <w:rPr>
          <w:rFonts w:eastAsia="Calibri" w:cs="Arial"/>
          <w:color w:val="auto"/>
        </w:rPr>
        <w:t xml:space="preserve">in the same manner, </w:t>
      </w:r>
      <w:r w:rsidR="004C3DE9" w:rsidRPr="00E242A8">
        <w:rPr>
          <w:rFonts w:cs="Arial"/>
        </w:rPr>
        <w:t>and removes the requirement that such grandchildren be dependents of the insured</w:t>
      </w:r>
      <w:r w:rsidR="004C3DE9">
        <w:rPr>
          <w:rFonts w:cs="Arial"/>
        </w:rPr>
        <w:t xml:space="preserve"> </w:t>
      </w:r>
      <w:r w:rsidR="004C3DE9" w:rsidRPr="004C3DE9">
        <w:rPr>
          <w:rFonts w:eastAsia="Calibri" w:cs="Arial"/>
          <w:color w:val="auto"/>
        </w:rPr>
        <w:t>for federal income tax purposes</w:t>
      </w:r>
      <w:r w:rsidR="004C3DE9" w:rsidRPr="004C3DE9">
        <w:rPr>
          <w:rFonts w:cs="Arial"/>
          <w:color w:val="auto"/>
        </w:rPr>
        <w:t>.</w:t>
      </w:r>
    </w:p>
    <w:p w:rsidR="00AD0DEB" w:rsidRPr="00E242A8" w:rsidRDefault="00AD0DEB" w:rsidP="00831B23">
      <w:pPr>
        <w:ind w:left="1440" w:firstLine="0"/>
        <w:rPr>
          <w:rFonts w:cs="Arial"/>
        </w:rPr>
      </w:pPr>
    </w:p>
    <w:p w:rsidR="00AD0DEB" w:rsidRPr="00E242A8" w:rsidRDefault="00AD0DEB" w:rsidP="00AD0DEB">
      <w:pPr>
        <w:ind w:left="1440" w:firstLine="0"/>
        <w:rPr>
          <w:rFonts w:cs="Arial"/>
        </w:rPr>
      </w:pPr>
      <w:r w:rsidRPr="00E242A8">
        <w:rPr>
          <w:rFonts w:cs="Arial"/>
        </w:rPr>
        <w:t>Effective September 1, 2011</w:t>
      </w:r>
      <w:r w:rsidR="00BE6D59" w:rsidRPr="00E242A8">
        <w:rPr>
          <w:rFonts w:cs="Arial"/>
        </w:rPr>
        <w:t>; a</w:t>
      </w:r>
      <w:r w:rsidRPr="00E242A8">
        <w:rPr>
          <w:rFonts w:cs="Arial"/>
        </w:rPr>
        <w:t>pplies only to an insurance policy that is delivered, issued for delivery, renewed, or amended on or after January 1, 2012.</w:t>
      </w:r>
    </w:p>
    <w:p w:rsidR="000C2AAF" w:rsidRPr="00E242A8" w:rsidRDefault="000C2AAF" w:rsidP="00AD0DEB">
      <w:pPr>
        <w:ind w:left="1440" w:firstLine="0"/>
        <w:rPr>
          <w:rFonts w:cs="Arial"/>
        </w:rPr>
      </w:pPr>
    </w:p>
    <w:p w:rsidR="00C276FC" w:rsidRPr="00E242A8" w:rsidRDefault="008D58AD" w:rsidP="00EE5762">
      <w:pPr>
        <w:ind w:left="1440" w:hanging="1440"/>
        <w:rPr>
          <w:rFonts w:cs="Arial"/>
          <w:color w:val="000000"/>
          <w:szCs w:val="24"/>
        </w:rPr>
      </w:pPr>
      <w:hyperlink r:id="rId20" w:history="1">
        <w:r w:rsidR="000C2AAF" w:rsidRPr="00E242A8">
          <w:rPr>
            <w:rStyle w:val="Hyperlink"/>
            <w:rFonts w:cs="Arial"/>
          </w:rPr>
          <w:t>HB2277</w:t>
        </w:r>
      </w:hyperlink>
      <w:r w:rsidR="000C2AAF" w:rsidRPr="00E242A8">
        <w:rPr>
          <w:rFonts w:cs="Arial"/>
        </w:rPr>
        <w:tab/>
      </w:r>
      <w:r w:rsidR="00CD3462">
        <w:rPr>
          <w:rStyle w:val="Emphasis"/>
          <w:rFonts w:cs="Arial"/>
        </w:rPr>
        <w:t xml:space="preserve">Annuity </w:t>
      </w:r>
      <w:r w:rsidR="00CB00FA">
        <w:rPr>
          <w:rStyle w:val="Emphasis"/>
          <w:rFonts w:cs="Arial"/>
        </w:rPr>
        <w:t>W</w:t>
      </w:r>
      <w:r w:rsidR="00C276FC" w:rsidRPr="00E242A8">
        <w:rPr>
          <w:rStyle w:val="Emphasis"/>
          <w:rFonts w:cs="Arial"/>
        </w:rPr>
        <w:t>aiver</w:t>
      </w:r>
      <w:r w:rsidR="00CD3462">
        <w:rPr>
          <w:rStyle w:val="Emphasis"/>
          <w:rFonts w:cs="Arial"/>
        </w:rPr>
        <w:t>s</w:t>
      </w:r>
      <w:r w:rsidR="00C276FC" w:rsidRPr="00E242A8">
        <w:rPr>
          <w:rStyle w:val="Emphasis"/>
          <w:rFonts w:cs="Arial"/>
        </w:rPr>
        <w:t xml:space="preserve"> </w:t>
      </w:r>
      <w:r w:rsidR="006A4BEA">
        <w:rPr>
          <w:rStyle w:val="Emphasis"/>
          <w:rFonts w:cs="Arial"/>
        </w:rPr>
        <w:t>o</w:t>
      </w:r>
      <w:r w:rsidR="00C276FC" w:rsidRPr="00E242A8">
        <w:rPr>
          <w:rStyle w:val="Emphasis"/>
          <w:rFonts w:cs="Arial"/>
        </w:rPr>
        <w:t xml:space="preserve">f </w:t>
      </w:r>
      <w:r w:rsidR="00CB00FA">
        <w:rPr>
          <w:rStyle w:val="Emphasis"/>
          <w:rFonts w:cs="Arial"/>
        </w:rPr>
        <w:t>S</w:t>
      </w:r>
      <w:r w:rsidR="00C276FC" w:rsidRPr="00E242A8">
        <w:rPr>
          <w:rStyle w:val="Emphasis"/>
          <w:rFonts w:cs="Arial"/>
        </w:rPr>
        <w:t xml:space="preserve">urrender </w:t>
      </w:r>
      <w:r w:rsidR="00CB00FA">
        <w:rPr>
          <w:rStyle w:val="Emphasis"/>
          <w:rFonts w:cs="Arial"/>
        </w:rPr>
        <w:t>C</w:t>
      </w:r>
      <w:r w:rsidR="00C276FC" w:rsidRPr="00E242A8">
        <w:rPr>
          <w:rStyle w:val="Emphasis"/>
          <w:rFonts w:cs="Arial"/>
        </w:rPr>
        <w:t xml:space="preserve">harges </w:t>
      </w:r>
      <w:r w:rsidR="00EE5762" w:rsidRPr="00E242A8">
        <w:rPr>
          <w:rStyle w:val="Emphasis"/>
          <w:rFonts w:cs="Arial"/>
        </w:rPr>
        <w:t>--</w:t>
      </w:r>
      <w:r w:rsidR="00C276FC" w:rsidRPr="00E242A8">
        <w:rPr>
          <w:rFonts w:cs="Arial"/>
          <w:color w:val="000000"/>
          <w:szCs w:val="24"/>
        </w:rPr>
        <w:t xml:space="preserve"> HB2277 excludes from the rebating provision the waiver of surrender charges for an annuity contract that is replaced by an annuity offered by an affiliate of the original issuer. It requires that the contract holder be given credit for the time that the previous contract was held when determining surrender charges.</w:t>
      </w:r>
    </w:p>
    <w:p w:rsidR="00C276FC" w:rsidRPr="00E242A8" w:rsidRDefault="00C276FC" w:rsidP="00546AF8">
      <w:pPr>
        <w:ind w:left="1440" w:firstLine="0"/>
        <w:rPr>
          <w:rFonts w:cs="Arial"/>
        </w:rPr>
      </w:pPr>
    </w:p>
    <w:p w:rsidR="00EE5762" w:rsidRPr="00E242A8" w:rsidRDefault="000C2AAF" w:rsidP="00EE5762">
      <w:pPr>
        <w:ind w:left="1440" w:firstLine="0"/>
        <w:rPr>
          <w:rFonts w:cs="Arial"/>
          <w:color w:val="000000"/>
          <w:szCs w:val="24"/>
        </w:rPr>
      </w:pPr>
      <w:r w:rsidRPr="00E242A8">
        <w:rPr>
          <w:rStyle w:val="Emphasis"/>
          <w:rFonts w:cs="Arial"/>
        </w:rPr>
        <w:t xml:space="preserve">Life </w:t>
      </w:r>
      <w:r w:rsidR="00CB00FA">
        <w:rPr>
          <w:rStyle w:val="Emphasis"/>
          <w:rFonts w:cs="Arial"/>
        </w:rPr>
        <w:t>S</w:t>
      </w:r>
      <w:r w:rsidRPr="00E242A8">
        <w:rPr>
          <w:rStyle w:val="Emphasis"/>
          <w:rFonts w:cs="Arial"/>
        </w:rPr>
        <w:t xml:space="preserve">ettlements </w:t>
      </w:r>
      <w:r w:rsidR="00A427E6">
        <w:rPr>
          <w:rStyle w:val="Emphasis"/>
          <w:rFonts w:cs="Arial"/>
        </w:rPr>
        <w:t xml:space="preserve">-- </w:t>
      </w:r>
      <w:r w:rsidR="00A427E6" w:rsidRPr="0054548B">
        <w:rPr>
          <w:rFonts w:cs="Arial"/>
          <w:color w:val="000000"/>
          <w:szCs w:val="24"/>
        </w:rPr>
        <w:t xml:space="preserve">HB2277 </w:t>
      </w:r>
      <w:r w:rsidR="00D50884">
        <w:rPr>
          <w:rFonts w:cs="Arial"/>
          <w:color w:val="000000"/>
          <w:szCs w:val="24"/>
        </w:rPr>
        <w:t xml:space="preserve">repeals the current </w:t>
      </w:r>
      <w:proofErr w:type="spellStart"/>
      <w:r w:rsidR="00D50884">
        <w:rPr>
          <w:rFonts w:cs="Arial"/>
          <w:color w:val="000000"/>
          <w:szCs w:val="24"/>
        </w:rPr>
        <w:t>viatical</w:t>
      </w:r>
      <w:proofErr w:type="spellEnd"/>
      <w:r w:rsidR="00D50884">
        <w:rPr>
          <w:rFonts w:cs="Arial"/>
          <w:color w:val="000000"/>
          <w:szCs w:val="24"/>
        </w:rPr>
        <w:t xml:space="preserve"> and life settlement chapter of t</w:t>
      </w:r>
      <w:r w:rsidR="00892B28">
        <w:rPr>
          <w:rFonts w:cs="Arial"/>
          <w:color w:val="000000"/>
          <w:szCs w:val="24"/>
        </w:rPr>
        <w:t xml:space="preserve">he </w:t>
      </w:r>
      <w:r w:rsidR="005C4C46">
        <w:rPr>
          <w:rFonts w:cs="Arial"/>
          <w:color w:val="000000"/>
          <w:szCs w:val="24"/>
        </w:rPr>
        <w:t xml:space="preserve">Texas </w:t>
      </w:r>
      <w:r w:rsidR="00892B28">
        <w:rPr>
          <w:rFonts w:cs="Arial"/>
          <w:color w:val="000000"/>
          <w:szCs w:val="24"/>
        </w:rPr>
        <w:t>Insurance Code and creates a new chapter</w:t>
      </w:r>
      <w:r w:rsidR="00A93B44">
        <w:rPr>
          <w:rFonts w:cs="Arial"/>
          <w:color w:val="000000"/>
          <w:szCs w:val="24"/>
        </w:rPr>
        <w:t>,</w:t>
      </w:r>
      <w:r w:rsidR="00892B28">
        <w:rPr>
          <w:rFonts w:cs="Arial"/>
          <w:color w:val="000000"/>
          <w:szCs w:val="24"/>
        </w:rPr>
        <w:t xml:space="preserve"> which combines both types </w:t>
      </w:r>
      <w:r w:rsidR="004A3C2F">
        <w:rPr>
          <w:rFonts w:cs="Arial"/>
          <w:color w:val="000000"/>
          <w:szCs w:val="24"/>
        </w:rPr>
        <w:t xml:space="preserve">of contracts </w:t>
      </w:r>
      <w:r w:rsidR="00892B28">
        <w:rPr>
          <w:rFonts w:cs="Arial"/>
          <w:color w:val="000000"/>
          <w:szCs w:val="24"/>
        </w:rPr>
        <w:t>under the label of life settlements. The bill prohibits the settlement of a life insuranc</w:t>
      </w:r>
      <w:r w:rsidR="0054336C">
        <w:rPr>
          <w:rFonts w:cs="Arial"/>
          <w:color w:val="000000"/>
          <w:szCs w:val="24"/>
        </w:rPr>
        <w:t>e</w:t>
      </w:r>
      <w:r w:rsidR="00892B28">
        <w:rPr>
          <w:rFonts w:cs="Arial"/>
          <w:color w:val="000000"/>
          <w:szCs w:val="24"/>
        </w:rPr>
        <w:t xml:space="preserve"> policy in the first two years after issuance, with exceptions. The bill also </w:t>
      </w:r>
      <w:r w:rsidR="00A427E6" w:rsidRPr="00A207B0">
        <w:rPr>
          <w:rFonts w:cs="Arial"/>
          <w:color w:val="000000"/>
          <w:szCs w:val="24"/>
        </w:rPr>
        <w:t xml:space="preserve">provides </w:t>
      </w:r>
      <w:r w:rsidR="00A427E6" w:rsidRPr="00A207B0">
        <w:rPr>
          <w:szCs w:val="24"/>
        </w:rPr>
        <w:t>consumer protections in the purchase of life settlement contracts and provides for penalties. The bill contains requirements for antifraud plans and reporting of fraud</w:t>
      </w:r>
      <w:r w:rsidR="00A427E6">
        <w:rPr>
          <w:szCs w:val="24"/>
        </w:rPr>
        <w:t xml:space="preserve">. It </w:t>
      </w:r>
      <w:r w:rsidR="00A427E6" w:rsidRPr="00A207B0">
        <w:rPr>
          <w:szCs w:val="24"/>
        </w:rPr>
        <w:t xml:space="preserve">authorizes TDI to investigate suspected fraudulent life </w:t>
      </w:r>
      <w:r w:rsidR="00A427E6" w:rsidRPr="00A207B0">
        <w:rPr>
          <w:szCs w:val="24"/>
        </w:rPr>
        <w:lastRenderedPageBreak/>
        <w:t>settlement acts and persons engaged in the business of life settlements</w:t>
      </w:r>
      <w:r w:rsidR="00A427E6">
        <w:rPr>
          <w:szCs w:val="24"/>
        </w:rPr>
        <w:t>.</w:t>
      </w:r>
      <w:r w:rsidR="00A427E6" w:rsidRPr="0054548B">
        <w:rPr>
          <w:rFonts w:cs="Arial"/>
          <w:color w:val="000000"/>
          <w:szCs w:val="24"/>
        </w:rPr>
        <w:t xml:space="preserve"> </w:t>
      </w:r>
      <w:r w:rsidR="00A427E6">
        <w:rPr>
          <w:rFonts w:cs="Arial"/>
          <w:color w:val="000000"/>
          <w:szCs w:val="24"/>
        </w:rPr>
        <w:t>The bill</w:t>
      </w:r>
      <w:r w:rsidR="00A427E6" w:rsidRPr="0054548B">
        <w:rPr>
          <w:rFonts w:cs="Arial"/>
          <w:color w:val="000000"/>
          <w:szCs w:val="24"/>
        </w:rPr>
        <w:t xml:space="preserve"> makes it a criminal offense to commit a fraudulent life settlement act and </w:t>
      </w:r>
      <w:r w:rsidR="00A427E6" w:rsidRPr="00A207B0">
        <w:rPr>
          <w:szCs w:val="24"/>
        </w:rPr>
        <w:t xml:space="preserve">provides for criminal and administrative sanctions for violations. </w:t>
      </w:r>
      <w:r w:rsidR="00A427E6">
        <w:rPr>
          <w:szCs w:val="24"/>
        </w:rPr>
        <w:t xml:space="preserve">It provides a licensing requirement for </w:t>
      </w:r>
      <w:r w:rsidR="00A427E6" w:rsidRPr="0054548B">
        <w:rPr>
          <w:rFonts w:cs="Arial"/>
          <w:color w:val="000000"/>
          <w:szCs w:val="24"/>
        </w:rPr>
        <w:t xml:space="preserve">a person </w:t>
      </w:r>
      <w:r w:rsidR="00A427E6" w:rsidRPr="00F812EA">
        <w:rPr>
          <w:rFonts w:cs="Arial"/>
          <w:color w:val="000000"/>
          <w:szCs w:val="24"/>
        </w:rPr>
        <w:t>act</w:t>
      </w:r>
      <w:r w:rsidR="00A427E6" w:rsidRPr="0054548B">
        <w:rPr>
          <w:rFonts w:cs="Arial"/>
          <w:color w:val="000000"/>
          <w:szCs w:val="24"/>
        </w:rPr>
        <w:t>ing</w:t>
      </w:r>
      <w:r w:rsidR="00A427E6">
        <w:rPr>
          <w:rFonts w:cs="Arial"/>
          <w:color w:val="000000"/>
          <w:szCs w:val="24"/>
        </w:rPr>
        <w:t xml:space="preserve"> as a provider or broker; provides for the expiration and renewal of a broker license, including any applicable licensing fees; </w:t>
      </w:r>
      <w:r w:rsidR="00A427E6" w:rsidRPr="0054548B">
        <w:rPr>
          <w:rFonts w:cs="Arial"/>
          <w:color w:val="000000"/>
          <w:szCs w:val="24"/>
        </w:rPr>
        <w:t>allows t</w:t>
      </w:r>
      <w:r w:rsidR="00A427E6" w:rsidRPr="00F812EA">
        <w:rPr>
          <w:rFonts w:cs="Arial"/>
          <w:color w:val="000000"/>
          <w:szCs w:val="24"/>
        </w:rPr>
        <w:t xml:space="preserve">he commissioner </w:t>
      </w:r>
      <w:r w:rsidR="00A427E6" w:rsidRPr="0054548B">
        <w:rPr>
          <w:rFonts w:cs="Arial"/>
          <w:color w:val="000000"/>
          <w:szCs w:val="24"/>
        </w:rPr>
        <w:t>to</w:t>
      </w:r>
      <w:r w:rsidR="00A427E6" w:rsidRPr="00F812EA">
        <w:rPr>
          <w:rFonts w:cs="Arial"/>
          <w:color w:val="000000"/>
          <w:szCs w:val="24"/>
        </w:rPr>
        <w:t xml:space="preserve"> suspend, revoke</w:t>
      </w:r>
      <w:r w:rsidR="00A427E6" w:rsidRPr="0054548B">
        <w:rPr>
          <w:rFonts w:cs="Arial"/>
          <w:color w:val="000000"/>
          <w:szCs w:val="24"/>
        </w:rPr>
        <w:t>,</w:t>
      </w:r>
      <w:r w:rsidR="00A427E6" w:rsidRPr="00F812EA">
        <w:rPr>
          <w:rFonts w:cs="Arial"/>
          <w:color w:val="000000"/>
          <w:szCs w:val="24"/>
        </w:rPr>
        <w:t xml:space="preserve"> or refuse to renew a license under certain circumstances</w:t>
      </w:r>
      <w:r w:rsidR="00A427E6">
        <w:rPr>
          <w:rFonts w:cs="Arial"/>
          <w:color w:val="000000"/>
          <w:szCs w:val="24"/>
        </w:rPr>
        <w:t xml:space="preserve">; and requires fifteen hours of continuing education training </w:t>
      </w:r>
      <w:r w:rsidR="00F66C99">
        <w:rPr>
          <w:rFonts w:cs="Arial"/>
          <w:color w:val="000000"/>
          <w:szCs w:val="24"/>
        </w:rPr>
        <w:t>biennially</w:t>
      </w:r>
      <w:r w:rsidR="00A427E6">
        <w:rPr>
          <w:rFonts w:cs="Arial"/>
          <w:color w:val="000000"/>
          <w:szCs w:val="24"/>
        </w:rPr>
        <w:t>. Life settlement contract</w:t>
      </w:r>
      <w:r w:rsidR="00687015">
        <w:rPr>
          <w:rFonts w:cs="Arial"/>
          <w:color w:val="000000"/>
          <w:szCs w:val="24"/>
        </w:rPr>
        <w:t>s</w:t>
      </w:r>
      <w:r w:rsidR="00A427E6">
        <w:rPr>
          <w:rFonts w:cs="Arial"/>
          <w:color w:val="000000"/>
          <w:szCs w:val="24"/>
        </w:rPr>
        <w:t xml:space="preserve"> and disclosure forms must be filed and approved by TDI</w:t>
      </w:r>
      <w:r w:rsidR="00D50884">
        <w:rPr>
          <w:rFonts w:cs="Arial"/>
          <w:color w:val="000000"/>
          <w:szCs w:val="24"/>
        </w:rPr>
        <w:t xml:space="preserve">, and the bill </w:t>
      </w:r>
      <w:r w:rsidR="00A427E6">
        <w:rPr>
          <w:rFonts w:cs="Arial"/>
          <w:color w:val="000000"/>
          <w:szCs w:val="24"/>
        </w:rPr>
        <w:t xml:space="preserve">allows the commissioner to require the submission of advertisements. The bill requires an annual report for policies settled within five years of issuance and provides for an </w:t>
      </w:r>
      <w:r w:rsidR="00A427E6" w:rsidRPr="0054548B">
        <w:rPr>
          <w:rFonts w:cs="Arial"/>
          <w:color w:val="000000"/>
          <w:szCs w:val="24"/>
        </w:rPr>
        <w:t>administrative penalty of up to $250 per day of delay</w:t>
      </w:r>
      <w:r w:rsidR="00687015">
        <w:rPr>
          <w:rFonts w:cs="Arial"/>
          <w:color w:val="000000"/>
          <w:szCs w:val="24"/>
        </w:rPr>
        <w:t xml:space="preserve"> </w:t>
      </w:r>
      <w:r w:rsidR="00F66C99">
        <w:rPr>
          <w:rFonts w:cs="Arial"/>
          <w:color w:val="000000"/>
          <w:szCs w:val="24"/>
        </w:rPr>
        <w:t>(</w:t>
      </w:r>
      <w:r w:rsidR="00A427E6" w:rsidRPr="0054548B">
        <w:rPr>
          <w:rFonts w:cs="Arial"/>
          <w:color w:val="000000"/>
          <w:szCs w:val="24"/>
        </w:rPr>
        <w:t>$25,000 in aggregate</w:t>
      </w:r>
      <w:r w:rsidR="00F66C99">
        <w:rPr>
          <w:rFonts w:cs="Arial"/>
          <w:color w:val="000000"/>
          <w:szCs w:val="24"/>
        </w:rPr>
        <w:t>)</w:t>
      </w:r>
      <w:r w:rsidR="00A427E6" w:rsidRPr="0054548B">
        <w:rPr>
          <w:rFonts w:cs="Arial"/>
          <w:color w:val="000000"/>
          <w:szCs w:val="24"/>
        </w:rPr>
        <w:t xml:space="preserve"> for each</w:t>
      </w:r>
      <w:r w:rsidR="00A427E6">
        <w:rPr>
          <w:rFonts w:cs="Arial"/>
          <w:color w:val="000000"/>
          <w:szCs w:val="24"/>
        </w:rPr>
        <w:t xml:space="preserve"> willful</w:t>
      </w:r>
      <w:r w:rsidR="00A427E6" w:rsidRPr="0054548B">
        <w:rPr>
          <w:rFonts w:cs="Arial"/>
          <w:color w:val="000000"/>
          <w:szCs w:val="24"/>
        </w:rPr>
        <w:t xml:space="preserve"> failure to file or respond</w:t>
      </w:r>
      <w:r w:rsidR="00A427E6">
        <w:rPr>
          <w:rFonts w:cs="Arial"/>
          <w:color w:val="000000"/>
          <w:szCs w:val="24"/>
        </w:rPr>
        <w:t xml:space="preserve"> within 30 days from the date of a written inquiry by TDI on the annual report</w:t>
      </w:r>
      <w:r w:rsidR="00A427E6" w:rsidRPr="0054548B">
        <w:rPr>
          <w:rFonts w:cs="Arial"/>
          <w:color w:val="000000"/>
          <w:szCs w:val="24"/>
        </w:rPr>
        <w:t>.</w:t>
      </w:r>
      <w:r w:rsidR="00A427E6">
        <w:rPr>
          <w:rFonts w:cs="Arial"/>
          <w:color w:val="000000"/>
          <w:szCs w:val="24"/>
        </w:rPr>
        <w:t xml:space="preserve"> The bill allows an insurance company application to </w:t>
      </w:r>
      <w:r w:rsidR="00A427E6" w:rsidRPr="0054548B">
        <w:rPr>
          <w:rFonts w:cs="Arial"/>
          <w:color w:val="000000"/>
          <w:szCs w:val="24"/>
        </w:rPr>
        <w:t>ask</w:t>
      </w:r>
      <w:r w:rsidR="00A427E6" w:rsidRPr="00F812EA">
        <w:rPr>
          <w:rFonts w:cs="Arial"/>
          <w:color w:val="000000"/>
          <w:szCs w:val="24"/>
        </w:rPr>
        <w:t xml:space="preserve"> whether the proposed owner intends to pay premiums with the assistance of </w:t>
      </w:r>
      <w:r w:rsidR="00A427E6" w:rsidRPr="0054548B">
        <w:rPr>
          <w:rFonts w:cs="Arial"/>
          <w:color w:val="000000"/>
          <w:szCs w:val="24"/>
        </w:rPr>
        <w:t xml:space="preserve">premium </w:t>
      </w:r>
      <w:r w:rsidR="00A427E6" w:rsidRPr="00F812EA">
        <w:rPr>
          <w:rFonts w:cs="Arial"/>
          <w:color w:val="000000"/>
          <w:szCs w:val="24"/>
        </w:rPr>
        <w:t xml:space="preserve">financing from a lender that will use the policy as collateral for </w:t>
      </w:r>
      <w:r w:rsidR="00A427E6" w:rsidRPr="0054548B">
        <w:rPr>
          <w:rFonts w:cs="Arial"/>
          <w:color w:val="000000"/>
          <w:szCs w:val="24"/>
        </w:rPr>
        <w:t>the</w:t>
      </w:r>
      <w:r w:rsidR="00A427E6" w:rsidRPr="00F812EA">
        <w:rPr>
          <w:rFonts w:cs="Arial"/>
          <w:color w:val="000000"/>
          <w:szCs w:val="24"/>
        </w:rPr>
        <w:t xml:space="preserve"> loan</w:t>
      </w:r>
      <w:r w:rsidR="00687015">
        <w:rPr>
          <w:rFonts w:cs="Arial"/>
          <w:color w:val="000000"/>
          <w:szCs w:val="24"/>
        </w:rPr>
        <w:t xml:space="preserve">. It </w:t>
      </w:r>
      <w:r w:rsidR="00A427E6" w:rsidRPr="0054548B">
        <w:rPr>
          <w:rFonts w:cs="Arial"/>
          <w:color w:val="000000"/>
          <w:szCs w:val="24"/>
        </w:rPr>
        <w:t>prohibits the premium finance loan funds from being used for a purpose other than to pay the premiums, costs, and expenses associated with obtaining and maintaining the life insurance policy.</w:t>
      </w:r>
      <w:r w:rsidR="00A427E6">
        <w:rPr>
          <w:rFonts w:cs="Arial"/>
          <w:color w:val="000000"/>
          <w:szCs w:val="24"/>
        </w:rPr>
        <w:t xml:space="preserve"> </w:t>
      </w:r>
      <w:r w:rsidR="00A03A25">
        <w:rPr>
          <w:rFonts w:cs="Arial"/>
          <w:color w:val="000000"/>
          <w:szCs w:val="24"/>
        </w:rPr>
        <w:t xml:space="preserve">It also requires the insurer to respond to requests for verification of coverage within 30 days and requires life settlement providers to notify insurers of life settlements within 20 days. </w:t>
      </w:r>
      <w:r w:rsidR="00A427E6" w:rsidRPr="00A207B0">
        <w:rPr>
          <w:szCs w:val="24"/>
        </w:rPr>
        <w:t xml:space="preserve">The bill authorizes TDI to conduct examinations of entities involved in the </w:t>
      </w:r>
      <w:r w:rsidR="00A427E6">
        <w:rPr>
          <w:szCs w:val="24"/>
        </w:rPr>
        <w:t>life</w:t>
      </w:r>
      <w:r w:rsidR="00A427E6" w:rsidRPr="00A207B0">
        <w:rPr>
          <w:szCs w:val="24"/>
        </w:rPr>
        <w:t xml:space="preserve"> settlement business.</w:t>
      </w:r>
    </w:p>
    <w:p w:rsidR="00EE5762" w:rsidRPr="00E242A8" w:rsidRDefault="00EE5762" w:rsidP="00EE5762">
      <w:pPr>
        <w:ind w:left="1440" w:firstLine="0"/>
        <w:rPr>
          <w:rFonts w:cs="Arial"/>
          <w:color w:val="000000"/>
          <w:szCs w:val="24"/>
        </w:rPr>
      </w:pPr>
    </w:p>
    <w:p w:rsidR="00EE5762" w:rsidRDefault="00CD3462" w:rsidP="008151D4">
      <w:pPr>
        <w:ind w:left="1440" w:firstLine="0"/>
        <w:rPr>
          <w:rFonts w:cs="Arial"/>
          <w:color w:val="000000"/>
          <w:szCs w:val="24"/>
        </w:rPr>
      </w:pPr>
      <w:r>
        <w:rPr>
          <w:rStyle w:val="Emphasis"/>
          <w:rFonts w:cs="Arial"/>
        </w:rPr>
        <w:t xml:space="preserve">Annuity </w:t>
      </w:r>
      <w:r w:rsidR="00CB00FA">
        <w:rPr>
          <w:rStyle w:val="Emphasis"/>
          <w:rFonts w:cs="Arial"/>
        </w:rPr>
        <w:t>S</w:t>
      </w:r>
      <w:r w:rsidR="00C276FC" w:rsidRPr="00E242A8">
        <w:rPr>
          <w:rStyle w:val="Emphasis"/>
          <w:rFonts w:cs="Arial"/>
        </w:rPr>
        <w:t>uitability –</w:t>
      </w:r>
      <w:r w:rsidR="00C276FC" w:rsidRPr="00E242A8">
        <w:rPr>
          <w:rFonts w:cs="Arial"/>
          <w:color w:val="000000"/>
          <w:szCs w:val="24"/>
        </w:rPr>
        <w:t xml:space="preserve"> HB2277 updates </w:t>
      </w:r>
      <w:r w:rsidR="00251297">
        <w:rPr>
          <w:rFonts w:cs="Arial"/>
          <w:color w:val="000000"/>
          <w:szCs w:val="24"/>
        </w:rPr>
        <w:t xml:space="preserve">Texas Insurance Code </w:t>
      </w:r>
      <w:r w:rsidR="00A03A25">
        <w:rPr>
          <w:rFonts w:cs="Arial"/>
          <w:color w:val="000000"/>
          <w:szCs w:val="24"/>
        </w:rPr>
        <w:t>Chapter</w:t>
      </w:r>
      <w:r w:rsidR="00C276FC" w:rsidRPr="00E242A8">
        <w:rPr>
          <w:rFonts w:cs="Arial"/>
          <w:color w:val="000000"/>
          <w:szCs w:val="24"/>
        </w:rPr>
        <w:t xml:space="preserve"> 1115 to the March 2010 NAIC </w:t>
      </w:r>
      <w:r w:rsidR="00A03A25">
        <w:rPr>
          <w:rFonts w:cs="Arial"/>
          <w:color w:val="000000"/>
          <w:szCs w:val="24"/>
        </w:rPr>
        <w:t>annuity s</w:t>
      </w:r>
      <w:r w:rsidR="00C276FC" w:rsidRPr="00E242A8">
        <w:rPr>
          <w:rFonts w:cs="Arial"/>
          <w:color w:val="000000"/>
          <w:szCs w:val="24"/>
        </w:rPr>
        <w:t xml:space="preserve">uitability </w:t>
      </w:r>
      <w:r w:rsidR="00A03A25">
        <w:rPr>
          <w:rFonts w:cs="Arial"/>
          <w:color w:val="000000"/>
          <w:szCs w:val="24"/>
        </w:rPr>
        <w:t>m</w:t>
      </w:r>
      <w:r w:rsidR="00C276FC" w:rsidRPr="00E242A8">
        <w:rPr>
          <w:rFonts w:cs="Arial"/>
          <w:color w:val="000000"/>
          <w:szCs w:val="24"/>
        </w:rPr>
        <w:t xml:space="preserve">odel to clarify what consumer information is to be considered and lists the product factors that impact suitability. It prohibits an insurer from issuing an annuity unless </w:t>
      </w:r>
      <w:r w:rsidR="00A93B44">
        <w:rPr>
          <w:rFonts w:cs="Arial"/>
          <w:color w:val="000000"/>
          <w:szCs w:val="24"/>
        </w:rPr>
        <w:t xml:space="preserve">there is </w:t>
      </w:r>
      <w:r w:rsidR="00C276FC" w:rsidRPr="00E242A8">
        <w:rPr>
          <w:rFonts w:cs="Arial"/>
          <w:color w:val="000000"/>
          <w:szCs w:val="24"/>
        </w:rPr>
        <w:t>a reasonable basis to believe it is suitable for the consumer, with exceptions. The bill establishes standards for an insurer or agent to determine whether an annuity is suitable for a consumer, in part based on the agent/insurer</w:t>
      </w:r>
      <w:r w:rsidR="004C3DE9">
        <w:rPr>
          <w:rFonts w:cs="Arial"/>
          <w:color w:val="000000"/>
          <w:szCs w:val="24"/>
        </w:rPr>
        <w:t>’</w:t>
      </w:r>
      <w:r w:rsidR="00C276FC" w:rsidRPr="00E242A8">
        <w:rPr>
          <w:rFonts w:cs="Arial"/>
          <w:color w:val="000000"/>
          <w:szCs w:val="24"/>
        </w:rPr>
        <w:t xml:space="preserve">s required disclosures about the product. The seller of the annuity must make a record of its recommendation. Insurers must create a suitability supervision system and are responsible for violations of the chapter. The bill </w:t>
      </w:r>
      <w:r w:rsidR="00A03A25">
        <w:rPr>
          <w:rFonts w:cs="Arial"/>
          <w:color w:val="000000"/>
          <w:szCs w:val="24"/>
        </w:rPr>
        <w:t>revises</w:t>
      </w:r>
      <w:r w:rsidR="00A03A25" w:rsidRPr="00E242A8">
        <w:rPr>
          <w:rFonts w:cs="Arial"/>
          <w:color w:val="000000"/>
          <w:szCs w:val="24"/>
        </w:rPr>
        <w:t xml:space="preserve"> </w:t>
      </w:r>
      <w:r w:rsidR="00C276FC" w:rsidRPr="00E242A8">
        <w:rPr>
          <w:rFonts w:cs="Arial"/>
          <w:color w:val="000000"/>
          <w:szCs w:val="24"/>
        </w:rPr>
        <w:t>continuing education training requirements for agents on annuities.</w:t>
      </w:r>
    </w:p>
    <w:p w:rsidR="005C4C46" w:rsidRPr="00E242A8" w:rsidRDefault="005C4C46" w:rsidP="008151D4">
      <w:pPr>
        <w:ind w:left="1440" w:firstLine="0"/>
      </w:pPr>
    </w:p>
    <w:p w:rsidR="00C276FC" w:rsidRPr="00E242A8" w:rsidRDefault="00EE5762" w:rsidP="008151D4">
      <w:pPr>
        <w:ind w:left="1440" w:firstLine="0"/>
      </w:pPr>
      <w:r w:rsidRPr="00E242A8">
        <w:t xml:space="preserve">Effective September 1, 2011. Texas Insurance Code Section 541.058(b), regarding the waiver of surrender charges, applies </w:t>
      </w:r>
      <w:r w:rsidR="00821FE1" w:rsidRPr="00E242A8">
        <w:t>only to an exchange of life annuity contracts on or after the September 1, 2011. Texas Insurance Code Chapter 1115, regarding suitability, applies only to a recommendation to purchase, exchange, or replace an annuity contract made on or after June 1, 2012 and any transactions ar</w:t>
      </w:r>
      <w:r w:rsidR="00B7772B">
        <w:t>ising from that recommendation</w:t>
      </w:r>
      <w:r w:rsidR="00821FE1" w:rsidRPr="00E242A8">
        <w:t>.</w:t>
      </w:r>
      <w:r w:rsidR="00C276FC" w:rsidRPr="00E242A8">
        <w:br/>
      </w:r>
    </w:p>
    <w:p w:rsidR="002D52D6" w:rsidRPr="00E242A8" w:rsidRDefault="008D58AD" w:rsidP="00FC4E6F">
      <w:pPr>
        <w:ind w:left="1440" w:hanging="1440"/>
        <w:rPr>
          <w:rFonts w:cs="Arial"/>
        </w:rPr>
      </w:pPr>
      <w:hyperlink r:id="rId21" w:history="1">
        <w:r w:rsidR="002D52D6" w:rsidRPr="00E242A8">
          <w:rPr>
            <w:rStyle w:val="Hyperlink"/>
            <w:rFonts w:cs="Arial"/>
          </w:rPr>
          <w:t>HB2292</w:t>
        </w:r>
      </w:hyperlink>
      <w:r w:rsidR="002D52D6" w:rsidRPr="00E242A8">
        <w:rPr>
          <w:rFonts w:cs="Arial"/>
        </w:rPr>
        <w:tab/>
      </w:r>
      <w:r w:rsidR="00CD3462">
        <w:rPr>
          <w:rStyle w:val="Emphasis"/>
          <w:rFonts w:cs="Arial"/>
        </w:rPr>
        <w:t xml:space="preserve">Pharmacy </w:t>
      </w:r>
      <w:r w:rsidR="00CB00FA">
        <w:rPr>
          <w:rStyle w:val="Emphasis"/>
          <w:rFonts w:cs="Arial"/>
        </w:rPr>
        <w:t>A</w:t>
      </w:r>
      <w:r w:rsidR="00CD3462">
        <w:rPr>
          <w:rStyle w:val="Emphasis"/>
          <w:rFonts w:cs="Arial"/>
        </w:rPr>
        <w:t xml:space="preserve">udits </w:t>
      </w:r>
      <w:r w:rsidR="006A4BEA">
        <w:rPr>
          <w:rStyle w:val="Emphasis"/>
          <w:rFonts w:cs="Arial"/>
        </w:rPr>
        <w:t>a</w:t>
      </w:r>
      <w:r w:rsidR="00CD3462">
        <w:rPr>
          <w:rStyle w:val="Emphasis"/>
          <w:rFonts w:cs="Arial"/>
        </w:rPr>
        <w:t xml:space="preserve">nd </w:t>
      </w:r>
      <w:r w:rsidR="00CB00FA">
        <w:rPr>
          <w:rStyle w:val="Emphasis"/>
          <w:rFonts w:cs="Arial"/>
        </w:rPr>
        <w:t>P</w:t>
      </w:r>
      <w:r w:rsidR="00CD3462">
        <w:rPr>
          <w:rStyle w:val="Emphasis"/>
          <w:rFonts w:cs="Arial"/>
        </w:rPr>
        <w:t xml:space="preserve">rompt </w:t>
      </w:r>
      <w:r w:rsidR="00CB00FA">
        <w:rPr>
          <w:rStyle w:val="Emphasis"/>
          <w:rFonts w:cs="Arial"/>
        </w:rPr>
        <w:t>P</w:t>
      </w:r>
      <w:r w:rsidR="00CD3462">
        <w:rPr>
          <w:rStyle w:val="Emphasis"/>
          <w:rFonts w:cs="Arial"/>
        </w:rPr>
        <w:t>ay --</w:t>
      </w:r>
      <w:r w:rsidR="002D52D6" w:rsidRPr="00E242A8">
        <w:rPr>
          <w:rFonts w:cs="Arial"/>
          <w:b/>
        </w:rPr>
        <w:t xml:space="preserve"> </w:t>
      </w:r>
      <w:r w:rsidR="002D52D6" w:rsidRPr="00E242A8">
        <w:rPr>
          <w:rFonts w:cs="Arial"/>
        </w:rPr>
        <w:t xml:space="preserve">HB2292 adds the term </w:t>
      </w:r>
      <w:r w:rsidR="001E5A46">
        <w:rPr>
          <w:rFonts w:cs="Arial"/>
        </w:rPr>
        <w:t>“e</w:t>
      </w:r>
      <w:r w:rsidR="002D52D6" w:rsidRPr="00E242A8">
        <w:rPr>
          <w:rFonts w:cs="Arial"/>
        </w:rPr>
        <w:t>xtrapolation</w:t>
      </w:r>
      <w:r w:rsidR="001E5A46">
        <w:rPr>
          <w:rFonts w:cs="Arial"/>
        </w:rPr>
        <w:t>”</w:t>
      </w:r>
      <w:r w:rsidR="002D52D6" w:rsidRPr="00E242A8">
        <w:rPr>
          <w:rFonts w:cs="Arial"/>
        </w:rPr>
        <w:t xml:space="preserve"> to the Texas Health Maintenance Organization (HMO) Act and to the Preferred Provider Benefit Plans </w:t>
      </w:r>
      <w:r w:rsidR="005C28A4">
        <w:rPr>
          <w:rFonts w:cs="Arial"/>
        </w:rPr>
        <w:t>(PPBP</w:t>
      </w:r>
      <w:r w:rsidR="00D124AC">
        <w:rPr>
          <w:rFonts w:cs="Arial"/>
        </w:rPr>
        <w:t>s</w:t>
      </w:r>
      <w:r w:rsidR="005C28A4">
        <w:rPr>
          <w:rFonts w:cs="Arial"/>
        </w:rPr>
        <w:t xml:space="preserve">) </w:t>
      </w:r>
      <w:r w:rsidR="002D52D6" w:rsidRPr="00E242A8">
        <w:rPr>
          <w:rFonts w:cs="Arial"/>
        </w:rPr>
        <w:t>Act in the Texas Insurance Code. It prohibits the use of extrapolation to estimate audit results or findings for a group of claims not reviewed by the HMO, PPBP, or the pharmacy benefit manager (PBM). The bill requires an HMO, PPBP, or a PBM that administers claims to provide a pharmacy or pharmacist with reasonable notice of an impending on-site audit not later than the 15th day before the date on which the on-site audit is to occur. It requires electronically submitted pharmacy claim</w:t>
      </w:r>
      <w:r w:rsidR="00A03A25">
        <w:rPr>
          <w:rFonts w:cs="Arial"/>
        </w:rPr>
        <w:t>s</w:t>
      </w:r>
      <w:r w:rsidR="002D52D6" w:rsidRPr="00E242A8">
        <w:rPr>
          <w:rFonts w:cs="Arial"/>
        </w:rPr>
        <w:t xml:space="preserve"> to be paid </w:t>
      </w:r>
      <w:r w:rsidR="00D2709A">
        <w:rPr>
          <w:rFonts w:cs="Arial"/>
        </w:rPr>
        <w:t xml:space="preserve">within 18 days and </w:t>
      </w:r>
      <w:r w:rsidR="002D52D6" w:rsidRPr="00E242A8">
        <w:rPr>
          <w:rFonts w:cs="Arial"/>
        </w:rPr>
        <w:t xml:space="preserve">non-electronic claims </w:t>
      </w:r>
      <w:r w:rsidR="00A03A25">
        <w:rPr>
          <w:rFonts w:cs="Arial"/>
        </w:rPr>
        <w:t>within</w:t>
      </w:r>
      <w:r w:rsidR="001E5A46">
        <w:rPr>
          <w:rFonts w:cs="Arial"/>
        </w:rPr>
        <w:t xml:space="preserve"> 21 days.</w:t>
      </w:r>
    </w:p>
    <w:p w:rsidR="00AD0DEB" w:rsidRPr="00E242A8" w:rsidRDefault="00AD0DEB" w:rsidP="00C447C0">
      <w:pPr>
        <w:ind w:left="1440" w:firstLine="0"/>
        <w:rPr>
          <w:rFonts w:cs="Arial"/>
        </w:rPr>
      </w:pPr>
    </w:p>
    <w:p w:rsidR="00AD0DEB" w:rsidRPr="00AF1409" w:rsidRDefault="00821FE1" w:rsidP="00FC4E6F">
      <w:pPr>
        <w:ind w:left="1440" w:firstLine="0"/>
        <w:rPr>
          <w:rFonts w:cs="Arial"/>
          <w:color w:val="auto"/>
          <w:szCs w:val="24"/>
        </w:rPr>
      </w:pPr>
      <w:r w:rsidRPr="00AF1409">
        <w:rPr>
          <w:rFonts w:cs="Arial"/>
          <w:color w:val="auto"/>
          <w:szCs w:val="24"/>
        </w:rPr>
        <w:t>Effective September 1, 2011;</w:t>
      </w:r>
      <w:r w:rsidR="00DA5293" w:rsidRPr="00AF1409">
        <w:rPr>
          <w:rFonts w:cs="Arial"/>
          <w:color w:val="auto"/>
          <w:szCs w:val="24"/>
        </w:rPr>
        <w:t xml:space="preserve"> for pharmacy benefits provided under a contract, applies only to a contract entered into or renewed on or after September 1, 2011; for pharmacy benefits not provided under a contract, applies only to payment for benefits provide</w:t>
      </w:r>
      <w:r w:rsidR="00F857E2">
        <w:rPr>
          <w:rFonts w:cs="Arial"/>
          <w:color w:val="auto"/>
          <w:szCs w:val="24"/>
        </w:rPr>
        <w:t>d</w:t>
      </w:r>
      <w:r w:rsidR="00DA5293" w:rsidRPr="00AF1409">
        <w:rPr>
          <w:rFonts w:cs="Arial"/>
          <w:color w:val="auto"/>
          <w:szCs w:val="24"/>
        </w:rPr>
        <w:t xml:space="preserve"> on or after September 1, 2011.</w:t>
      </w:r>
    </w:p>
    <w:p w:rsidR="00471364" w:rsidRPr="00E242A8" w:rsidRDefault="00471364" w:rsidP="00821FE1">
      <w:pPr>
        <w:ind w:left="1440" w:firstLine="0"/>
        <w:rPr>
          <w:rFonts w:cs="Arial"/>
          <w:color w:val="002240"/>
          <w:szCs w:val="24"/>
        </w:rPr>
      </w:pPr>
    </w:p>
    <w:p w:rsidR="00471364" w:rsidRPr="00E242A8" w:rsidRDefault="008D58AD" w:rsidP="00471364">
      <w:pPr>
        <w:ind w:left="1440" w:hanging="1440"/>
        <w:rPr>
          <w:rFonts w:cs="Arial"/>
        </w:rPr>
      </w:pPr>
      <w:hyperlink r:id="rId22" w:history="1">
        <w:r w:rsidR="00FC4E6F" w:rsidRPr="00E242A8">
          <w:rPr>
            <w:rStyle w:val="Hyperlink"/>
            <w:rFonts w:cs="Arial"/>
          </w:rPr>
          <w:t>HB2503</w:t>
        </w:r>
      </w:hyperlink>
      <w:r w:rsidR="00471364" w:rsidRPr="00E242A8">
        <w:rPr>
          <w:rFonts w:cs="Arial"/>
          <w:color w:val="002240"/>
          <w:szCs w:val="24"/>
        </w:rPr>
        <w:tab/>
      </w:r>
      <w:r w:rsidR="00471364" w:rsidRPr="00E242A8">
        <w:rPr>
          <w:rStyle w:val="IntenseEmphasis"/>
          <w:rFonts w:cs="Arial"/>
        </w:rPr>
        <w:t>Agents</w:t>
      </w:r>
      <w:r w:rsidR="006A4BEA">
        <w:rPr>
          <w:rStyle w:val="IntenseEmphasis"/>
          <w:rFonts w:cs="Arial"/>
        </w:rPr>
        <w:t>’</w:t>
      </w:r>
      <w:r w:rsidR="00471364" w:rsidRPr="00E242A8">
        <w:rPr>
          <w:rStyle w:val="IntenseEmphasis"/>
          <w:rFonts w:cs="Arial"/>
        </w:rPr>
        <w:t xml:space="preserve"> </w:t>
      </w:r>
      <w:r w:rsidR="00CB00FA">
        <w:rPr>
          <w:rStyle w:val="IntenseEmphasis"/>
          <w:rFonts w:cs="Arial"/>
        </w:rPr>
        <w:t>L</w:t>
      </w:r>
      <w:r w:rsidR="00471364" w:rsidRPr="00E242A8">
        <w:rPr>
          <w:rStyle w:val="IntenseEmphasis"/>
          <w:rFonts w:cs="Arial"/>
        </w:rPr>
        <w:t>icensing</w:t>
      </w:r>
      <w:r w:rsidR="00471364" w:rsidRPr="00E242A8">
        <w:rPr>
          <w:rFonts w:cs="Arial"/>
          <w:b/>
          <w:color w:val="002240"/>
          <w:szCs w:val="24"/>
        </w:rPr>
        <w:t xml:space="preserve"> – </w:t>
      </w:r>
      <w:r w:rsidR="00471364" w:rsidRPr="00E242A8">
        <w:rPr>
          <w:rFonts w:cs="Arial"/>
        </w:rPr>
        <w:t xml:space="preserve">HB2503 removes the requirement </w:t>
      </w:r>
      <w:r w:rsidR="001E5A46" w:rsidRPr="00E242A8">
        <w:rPr>
          <w:rFonts w:cs="Arial"/>
        </w:rPr>
        <w:t xml:space="preserve">that </w:t>
      </w:r>
      <w:r w:rsidR="004A3C2F">
        <w:rPr>
          <w:rFonts w:cs="Arial"/>
        </w:rPr>
        <w:t>TDI</w:t>
      </w:r>
      <w:r w:rsidR="001E5A46">
        <w:rPr>
          <w:rFonts w:cs="Arial"/>
        </w:rPr>
        <w:t xml:space="preserve"> must determine that </w:t>
      </w:r>
      <w:r w:rsidR="001E5A46" w:rsidRPr="00E242A8">
        <w:rPr>
          <w:rFonts w:cs="Arial"/>
        </w:rPr>
        <w:t xml:space="preserve">a corporation or partnership </w:t>
      </w:r>
      <w:r w:rsidR="001E5A46">
        <w:rPr>
          <w:rFonts w:cs="Arial"/>
        </w:rPr>
        <w:t xml:space="preserve">is </w:t>
      </w:r>
      <w:r w:rsidR="001E5A46" w:rsidRPr="00E242A8">
        <w:rPr>
          <w:rFonts w:cs="Arial"/>
        </w:rPr>
        <w:t xml:space="preserve">admitted to engage in business in this state by the </w:t>
      </w:r>
      <w:r w:rsidR="001E5A46">
        <w:rPr>
          <w:rFonts w:cs="Arial"/>
        </w:rPr>
        <w:t>S</w:t>
      </w:r>
      <w:r w:rsidR="001E5A46" w:rsidRPr="00E242A8">
        <w:rPr>
          <w:rFonts w:cs="Arial"/>
        </w:rPr>
        <w:t xml:space="preserve">ecretary of </w:t>
      </w:r>
      <w:r w:rsidR="001E5A46">
        <w:rPr>
          <w:rFonts w:cs="Arial"/>
        </w:rPr>
        <w:t>S</w:t>
      </w:r>
      <w:r w:rsidR="001E5A46" w:rsidRPr="00E242A8">
        <w:rPr>
          <w:rFonts w:cs="Arial"/>
        </w:rPr>
        <w:t>tate</w:t>
      </w:r>
      <w:r w:rsidR="001E5A46">
        <w:rPr>
          <w:rFonts w:cs="Arial"/>
        </w:rPr>
        <w:t xml:space="preserve"> in order to issue an agent license</w:t>
      </w:r>
      <w:r w:rsidR="001E5A46" w:rsidRPr="00E242A8">
        <w:rPr>
          <w:rFonts w:cs="Arial"/>
        </w:rPr>
        <w:t>.</w:t>
      </w:r>
      <w:r w:rsidR="001E5A46">
        <w:rPr>
          <w:rFonts w:cs="Arial"/>
        </w:rPr>
        <w:t xml:space="preserve"> The bill has no effect on whether a business is required to register with the Secretary of State under the Texas Business Organizations Code</w:t>
      </w:r>
      <w:r w:rsidR="005C28A4">
        <w:rPr>
          <w:rFonts w:cs="Arial"/>
        </w:rPr>
        <w:t>.</w:t>
      </w:r>
    </w:p>
    <w:p w:rsidR="00821FE1" w:rsidRDefault="00821FE1" w:rsidP="00821FE1">
      <w:pPr>
        <w:ind w:left="1440" w:firstLine="0"/>
        <w:rPr>
          <w:rFonts w:cs="Arial"/>
          <w:color w:val="002240"/>
          <w:szCs w:val="24"/>
        </w:rPr>
      </w:pPr>
    </w:p>
    <w:p w:rsidR="00546AF8" w:rsidRPr="00546AF8" w:rsidRDefault="00546AF8" w:rsidP="00546AF8">
      <w:pPr>
        <w:ind w:left="1440" w:firstLine="0"/>
        <w:rPr>
          <w:rFonts w:cs="Arial"/>
        </w:rPr>
      </w:pPr>
      <w:r w:rsidRPr="00546AF8">
        <w:rPr>
          <w:rFonts w:cs="Arial"/>
        </w:rPr>
        <w:t>Effective September 1, 2011; applies only to a license application filed on or after September 1, 2011.</w:t>
      </w:r>
    </w:p>
    <w:p w:rsidR="00546AF8" w:rsidRPr="00E242A8" w:rsidRDefault="00546AF8" w:rsidP="00821FE1">
      <w:pPr>
        <w:ind w:left="1440" w:firstLine="0"/>
        <w:rPr>
          <w:rFonts w:cs="Arial"/>
          <w:color w:val="002240"/>
          <w:szCs w:val="24"/>
        </w:rPr>
      </w:pPr>
    </w:p>
    <w:p w:rsidR="001E5A46" w:rsidRDefault="008D58AD" w:rsidP="00A702A7">
      <w:pPr>
        <w:ind w:left="1440" w:hanging="1440"/>
        <w:rPr>
          <w:rFonts w:cs="Arial"/>
          <w:color w:val="000000"/>
          <w:szCs w:val="24"/>
        </w:rPr>
      </w:pPr>
      <w:hyperlink r:id="rId23" w:history="1">
        <w:proofErr w:type="gramStart"/>
        <w:r w:rsidR="00A702A7" w:rsidRPr="00E242A8">
          <w:rPr>
            <w:rStyle w:val="Hyperlink"/>
            <w:rFonts w:cs="Arial"/>
            <w:szCs w:val="24"/>
          </w:rPr>
          <w:t>HB2605</w:t>
        </w:r>
      </w:hyperlink>
      <w:r w:rsidR="00A702A7" w:rsidRPr="00E242A8">
        <w:rPr>
          <w:rFonts w:cs="Arial"/>
          <w:color w:val="002240"/>
          <w:szCs w:val="24"/>
        </w:rPr>
        <w:tab/>
      </w:r>
      <w:r w:rsidR="00471364" w:rsidRPr="00E242A8">
        <w:rPr>
          <w:rStyle w:val="IntenseEmphasis"/>
          <w:rFonts w:cs="Arial"/>
        </w:rPr>
        <w:t xml:space="preserve">Medical </w:t>
      </w:r>
      <w:r w:rsidR="00CB00FA">
        <w:rPr>
          <w:rStyle w:val="IntenseEmphasis"/>
          <w:rFonts w:cs="Arial"/>
        </w:rPr>
        <w:t>D</w:t>
      </w:r>
      <w:r w:rsidR="00471364" w:rsidRPr="00E242A8">
        <w:rPr>
          <w:rStyle w:val="IntenseEmphasis"/>
          <w:rFonts w:cs="Arial"/>
        </w:rPr>
        <w:t xml:space="preserve">ispute </w:t>
      </w:r>
      <w:r w:rsidR="00CB00FA">
        <w:rPr>
          <w:rStyle w:val="IntenseEmphasis"/>
          <w:rFonts w:cs="Arial"/>
        </w:rPr>
        <w:t>R</w:t>
      </w:r>
      <w:r w:rsidR="00471364" w:rsidRPr="00E242A8">
        <w:rPr>
          <w:rStyle w:val="IntenseEmphasis"/>
          <w:rFonts w:cs="Arial"/>
        </w:rPr>
        <w:t xml:space="preserve">esolution, </w:t>
      </w:r>
      <w:r w:rsidR="00CB00FA">
        <w:rPr>
          <w:rStyle w:val="IntenseEmphasis"/>
          <w:rFonts w:cs="Arial"/>
        </w:rPr>
        <w:t>I</w:t>
      </w:r>
      <w:r w:rsidR="00471364" w:rsidRPr="00E242A8">
        <w:rPr>
          <w:rStyle w:val="IntenseEmphasis"/>
          <w:rFonts w:cs="Arial"/>
        </w:rPr>
        <w:t xml:space="preserve">ndependent </w:t>
      </w:r>
      <w:r w:rsidR="00CB00FA">
        <w:rPr>
          <w:rStyle w:val="IntenseEmphasis"/>
          <w:rFonts w:cs="Arial"/>
        </w:rPr>
        <w:t>R</w:t>
      </w:r>
      <w:r w:rsidR="00471364" w:rsidRPr="00E242A8">
        <w:rPr>
          <w:rStyle w:val="IntenseEmphasis"/>
          <w:rFonts w:cs="Arial"/>
        </w:rPr>
        <w:t xml:space="preserve">eview </w:t>
      </w:r>
      <w:r w:rsidR="00CB00FA">
        <w:rPr>
          <w:rStyle w:val="IntenseEmphasis"/>
          <w:rFonts w:cs="Arial"/>
        </w:rPr>
        <w:t>O</w:t>
      </w:r>
      <w:r w:rsidR="00471364" w:rsidRPr="00E242A8">
        <w:rPr>
          <w:rStyle w:val="IntenseEmphasis"/>
          <w:rFonts w:cs="Arial"/>
        </w:rPr>
        <w:t>rganization (IRO)</w:t>
      </w:r>
      <w:r w:rsidR="00471364" w:rsidRPr="00E242A8">
        <w:rPr>
          <w:rFonts w:cs="Arial"/>
          <w:b/>
          <w:color w:val="002240"/>
          <w:szCs w:val="24"/>
        </w:rPr>
        <w:t xml:space="preserve"> --</w:t>
      </w:r>
      <w:r w:rsidR="00CB00FA">
        <w:rPr>
          <w:rFonts w:cs="Arial"/>
          <w:b/>
          <w:color w:val="002240"/>
          <w:szCs w:val="24"/>
        </w:rPr>
        <w:t xml:space="preserve"> </w:t>
      </w:r>
      <w:r w:rsidR="00A702A7" w:rsidRPr="00E242A8">
        <w:rPr>
          <w:rFonts w:cs="Arial"/>
          <w:color w:val="000000"/>
          <w:szCs w:val="24"/>
        </w:rPr>
        <w:t>HB2605 states that a party to a medical dispute is entitled to an administrative hearing with TDI-DWC.</w:t>
      </w:r>
      <w:proofErr w:type="gramEnd"/>
      <w:r w:rsidR="00A702A7" w:rsidRPr="00E242A8">
        <w:rPr>
          <w:rFonts w:cs="Arial"/>
          <w:color w:val="000000"/>
          <w:szCs w:val="24"/>
        </w:rPr>
        <w:t xml:space="preserve"> The finding of </w:t>
      </w:r>
      <w:r w:rsidR="00D2709A">
        <w:rPr>
          <w:rFonts w:cs="Arial"/>
          <w:color w:val="000000"/>
          <w:szCs w:val="24"/>
        </w:rPr>
        <w:t>an</w:t>
      </w:r>
      <w:r w:rsidR="00A702A7" w:rsidRPr="00E242A8">
        <w:rPr>
          <w:rFonts w:cs="Arial"/>
          <w:color w:val="000000"/>
          <w:szCs w:val="24"/>
        </w:rPr>
        <w:t xml:space="preserve"> IRO is binding during the pendency of dispute resolution through contested case hearing and judicial review. If an IRO decision is not appealed, the insurance carrier and network shall comply with the decision of the IRO. An aggrieved party to a certified health care network medical dispute is entitled to a contested case hearing conducted in the same manner as other hearings under Labor Code Section 413.0311. A hearing officer shall consider evidence</w:t>
      </w:r>
      <w:r w:rsidR="00F66C99">
        <w:rPr>
          <w:rFonts w:cs="Arial"/>
          <w:color w:val="000000"/>
          <w:szCs w:val="24"/>
        </w:rPr>
        <w:t>-</w:t>
      </w:r>
      <w:r w:rsidR="00A702A7" w:rsidRPr="00E242A8">
        <w:rPr>
          <w:rFonts w:cs="Arial"/>
          <w:color w:val="000000"/>
          <w:szCs w:val="24"/>
        </w:rPr>
        <w:t>based treatment guidelines established by the network. The bill provides that the hearing officer’s decision may be appealed t</w:t>
      </w:r>
      <w:r w:rsidR="007B04DE">
        <w:rPr>
          <w:rFonts w:cs="Arial"/>
          <w:color w:val="000000"/>
          <w:szCs w:val="24"/>
        </w:rPr>
        <w:t>hrough</w:t>
      </w:r>
      <w:r w:rsidR="00A702A7" w:rsidRPr="00E242A8">
        <w:rPr>
          <w:rFonts w:cs="Arial"/>
          <w:color w:val="000000"/>
          <w:szCs w:val="24"/>
        </w:rPr>
        <w:t xml:space="preserve"> judicial review if a party is still aggrieved by the decision and that judicial review shall be conducted in the manner for contested case hearings under the Government Code </w:t>
      </w:r>
      <w:r w:rsidR="001E5A46" w:rsidRPr="00E242A8">
        <w:rPr>
          <w:rFonts w:cs="Arial"/>
          <w:color w:val="000000"/>
          <w:szCs w:val="24"/>
        </w:rPr>
        <w:t xml:space="preserve">and </w:t>
      </w:r>
      <w:r w:rsidR="001E5A46">
        <w:rPr>
          <w:rFonts w:cs="Arial"/>
          <w:color w:val="000000"/>
          <w:szCs w:val="24"/>
        </w:rPr>
        <w:t xml:space="preserve">is governed by </w:t>
      </w:r>
      <w:r w:rsidR="00A702A7" w:rsidRPr="00E242A8">
        <w:rPr>
          <w:rFonts w:cs="Arial"/>
          <w:color w:val="000000"/>
          <w:szCs w:val="24"/>
        </w:rPr>
        <w:t>the substantial evidence rule.</w:t>
      </w:r>
    </w:p>
    <w:p w:rsidR="001E5A46" w:rsidRDefault="001E5A46" w:rsidP="001E5A46">
      <w:pPr>
        <w:ind w:left="1440" w:firstLine="0"/>
        <w:rPr>
          <w:rFonts w:cs="Arial"/>
          <w:color w:val="000000"/>
          <w:szCs w:val="24"/>
        </w:rPr>
      </w:pPr>
    </w:p>
    <w:p w:rsidR="00A702A7" w:rsidRPr="00E242A8" w:rsidRDefault="00A702A7" w:rsidP="001E5A46">
      <w:pPr>
        <w:ind w:left="1440" w:firstLine="0"/>
        <w:rPr>
          <w:rFonts w:cs="Arial"/>
          <w:color w:val="000000"/>
          <w:szCs w:val="24"/>
        </w:rPr>
      </w:pPr>
      <w:r w:rsidRPr="00E242A8">
        <w:rPr>
          <w:rFonts w:cs="Arial"/>
          <w:color w:val="000000"/>
          <w:szCs w:val="24"/>
        </w:rPr>
        <w:t>Effective September 1, 2011; appl</w:t>
      </w:r>
      <w:r w:rsidR="001E5A46">
        <w:rPr>
          <w:rFonts w:cs="Arial"/>
          <w:color w:val="000000"/>
          <w:szCs w:val="24"/>
        </w:rPr>
        <w:t>ies</w:t>
      </w:r>
      <w:r w:rsidRPr="00E242A8">
        <w:rPr>
          <w:rFonts w:cs="Arial"/>
          <w:color w:val="000000"/>
          <w:szCs w:val="24"/>
        </w:rPr>
        <w:t xml:space="preserve"> to a medical dispute based on a review by an independent review organization under </w:t>
      </w:r>
      <w:r w:rsidR="005C4C46">
        <w:rPr>
          <w:rFonts w:cs="Arial"/>
          <w:color w:val="000000"/>
          <w:szCs w:val="24"/>
        </w:rPr>
        <w:t xml:space="preserve">Texas </w:t>
      </w:r>
      <w:r w:rsidRPr="00E242A8">
        <w:rPr>
          <w:rFonts w:cs="Arial"/>
          <w:color w:val="000000"/>
          <w:szCs w:val="24"/>
        </w:rPr>
        <w:t>Insurance Code Section 1305.355 that is commenced on or after June 1, 2012.</w:t>
      </w:r>
    </w:p>
    <w:p w:rsidR="00C447C0" w:rsidRDefault="00C447C0" w:rsidP="000E72D3">
      <w:pPr>
        <w:ind w:left="1440" w:firstLine="0"/>
        <w:rPr>
          <w:rFonts w:cs="Arial"/>
        </w:rPr>
      </w:pPr>
    </w:p>
    <w:p w:rsidR="000E72D3" w:rsidRDefault="008D58AD" w:rsidP="000E72D3">
      <w:pPr>
        <w:ind w:left="1440" w:hanging="1440"/>
        <w:rPr>
          <w:rFonts w:cs="Arial"/>
          <w:color w:val="000000"/>
          <w:szCs w:val="24"/>
        </w:rPr>
      </w:pPr>
      <w:hyperlink r:id="rId24" w:history="1">
        <w:r w:rsidR="008724D9" w:rsidRPr="00E242A8">
          <w:rPr>
            <w:rStyle w:val="Hyperlink"/>
            <w:rFonts w:cs="Arial"/>
            <w:szCs w:val="24"/>
          </w:rPr>
          <w:t>HB2699</w:t>
        </w:r>
      </w:hyperlink>
      <w:r w:rsidR="008724D9" w:rsidRPr="00E242A8">
        <w:rPr>
          <w:rFonts w:cs="Arial"/>
          <w:color w:val="002240"/>
          <w:szCs w:val="24"/>
        </w:rPr>
        <w:tab/>
      </w:r>
      <w:r w:rsidR="00CD3462">
        <w:rPr>
          <w:rStyle w:val="IntenseEmphasis"/>
        </w:rPr>
        <w:t>I</w:t>
      </w:r>
      <w:r w:rsidR="008724D9" w:rsidRPr="000E72D3">
        <w:rPr>
          <w:rStyle w:val="IntenseEmphasis"/>
        </w:rPr>
        <w:t>nsurance</w:t>
      </w:r>
      <w:r w:rsidR="008724D9" w:rsidRPr="00E242A8">
        <w:rPr>
          <w:rStyle w:val="IntenseEmphasis"/>
          <w:rFonts w:cs="Arial"/>
        </w:rPr>
        <w:t xml:space="preserve"> </w:t>
      </w:r>
      <w:r w:rsidR="00CB00FA">
        <w:rPr>
          <w:rStyle w:val="IntenseEmphasis"/>
          <w:rFonts w:cs="Arial"/>
        </w:rPr>
        <w:t>A</w:t>
      </w:r>
      <w:r w:rsidR="008724D9" w:rsidRPr="00E242A8">
        <w:rPr>
          <w:rStyle w:val="IntenseEmphasis"/>
          <w:rFonts w:cs="Arial"/>
        </w:rPr>
        <w:t>djuster</w:t>
      </w:r>
      <w:r w:rsidR="00CD3462">
        <w:rPr>
          <w:rStyle w:val="IntenseEmphasis"/>
          <w:rFonts w:cs="Arial"/>
        </w:rPr>
        <w:t>s</w:t>
      </w:r>
      <w:r w:rsidR="008724D9" w:rsidRPr="00E242A8">
        <w:rPr>
          <w:rStyle w:val="IntenseEmphasis"/>
          <w:rFonts w:cs="Arial"/>
        </w:rPr>
        <w:t xml:space="preserve"> --</w:t>
      </w:r>
      <w:r w:rsidR="008724D9" w:rsidRPr="00E242A8">
        <w:rPr>
          <w:rFonts w:cs="Arial"/>
          <w:color w:val="000000"/>
          <w:szCs w:val="24"/>
        </w:rPr>
        <w:t xml:space="preserve"> </w:t>
      </w:r>
      <w:r w:rsidR="00F91CAB" w:rsidRPr="00E242A8">
        <w:rPr>
          <w:rFonts w:cs="Arial"/>
          <w:color w:val="000000"/>
          <w:szCs w:val="24"/>
        </w:rPr>
        <w:t>HB2699 modifies the insurance adjuster licensing requirements to</w:t>
      </w:r>
      <w:r w:rsidR="00F91CAB">
        <w:rPr>
          <w:rFonts w:cs="Arial"/>
          <w:color w:val="000000"/>
          <w:szCs w:val="24"/>
        </w:rPr>
        <w:t xml:space="preserve"> redefine “adjuster,” “automated claims adjudication system,” “business entity,” “home state,” and “person.”</w:t>
      </w:r>
      <w:r w:rsidR="00F91CAB" w:rsidRPr="00E242A8">
        <w:rPr>
          <w:rFonts w:cs="Arial"/>
          <w:color w:val="000000"/>
          <w:szCs w:val="24"/>
        </w:rPr>
        <w:t xml:space="preserve"> The bill adds to the list of people excepted from the insurance adjuster licensing requirements to include an individual who: (1) collects claim information from or furnishes claim information to an insured or claimant; (2) enters data into an automated claims adjudication system; and</w:t>
      </w:r>
      <w:r w:rsidR="00F91CAB">
        <w:rPr>
          <w:rFonts w:cs="Arial"/>
          <w:color w:val="000000"/>
          <w:szCs w:val="24"/>
        </w:rPr>
        <w:t xml:space="preserve"> (3)</w:t>
      </w:r>
      <w:r w:rsidR="00F91CAB" w:rsidRPr="00E242A8">
        <w:rPr>
          <w:rFonts w:cs="Arial"/>
          <w:color w:val="000000"/>
          <w:szCs w:val="24"/>
        </w:rPr>
        <w:t xml:space="preserve"> is employed by a licensed independent adjuster or its affiliate under circumstances in which no more than 25 individuals are supervised by a single licensed </w:t>
      </w:r>
      <w:r w:rsidR="00F91CAB">
        <w:rPr>
          <w:rFonts w:cs="Arial"/>
          <w:color w:val="000000"/>
          <w:szCs w:val="24"/>
        </w:rPr>
        <w:t xml:space="preserve">independent </w:t>
      </w:r>
      <w:r w:rsidR="00F91CAB" w:rsidRPr="00E242A8">
        <w:rPr>
          <w:rFonts w:cs="Arial"/>
          <w:color w:val="000000"/>
          <w:szCs w:val="24"/>
        </w:rPr>
        <w:t xml:space="preserve">adjuster or a single licensed agent. </w:t>
      </w:r>
      <w:r w:rsidR="00F91CAB">
        <w:rPr>
          <w:rFonts w:cs="Arial"/>
          <w:color w:val="000000"/>
          <w:szCs w:val="24"/>
        </w:rPr>
        <w:t xml:space="preserve">It </w:t>
      </w:r>
      <w:r w:rsidR="00F91CAB">
        <w:t>further provides that a</w:t>
      </w:r>
      <w:r w:rsidR="00F91CAB" w:rsidRPr="00BA2AEF">
        <w:t xml:space="preserve"> licens</w:t>
      </w:r>
      <w:r w:rsidR="00F91CAB">
        <w:t xml:space="preserve">ed agent acting as a supervisor in that situation </w:t>
      </w:r>
      <w:r w:rsidR="00F91CAB" w:rsidRPr="00BA2AEF">
        <w:t>is not required to be licensed as an adjuster.</w:t>
      </w:r>
      <w:r w:rsidR="00F91CAB">
        <w:t xml:space="preserve"> The bill also adds to the definition of who may be licensed as an insurance adjuster by defining “business entity” and specif</w:t>
      </w:r>
      <w:r w:rsidR="00B9732F">
        <w:t>y</w:t>
      </w:r>
      <w:r w:rsidR="00F91CAB">
        <w:t>i</w:t>
      </w:r>
      <w:r w:rsidR="00F66C99">
        <w:t>ng</w:t>
      </w:r>
      <w:r w:rsidR="00F91CAB">
        <w:t xml:space="preserve"> that a </w:t>
      </w:r>
      <w:r w:rsidR="00F91CAB" w:rsidRPr="00B0681C">
        <w:t xml:space="preserve">resident of Canada </w:t>
      </w:r>
      <w:r w:rsidR="00F91CAB">
        <w:t>must successfully pass</w:t>
      </w:r>
      <w:r w:rsidR="00F91CAB" w:rsidRPr="00B0681C">
        <w:t xml:space="preserve"> the adjuster examination</w:t>
      </w:r>
      <w:r w:rsidR="00F91CAB">
        <w:t xml:space="preserve"> and comply with other applicable portions of the Texas Insurance Code Section 4101.053 in order to be licensed.</w:t>
      </w:r>
    </w:p>
    <w:p w:rsidR="008724D9" w:rsidRPr="00E242A8" w:rsidRDefault="008724D9" w:rsidP="00546AF8">
      <w:pPr>
        <w:ind w:left="1440" w:firstLine="0"/>
        <w:rPr>
          <w:rFonts w:cs="Arial"/>
          <w:color w:val="000000"/>
          <w:szCs w:val="24"/>
        </w:rPr>
      </w:pPr>
    </w:p>
    <w:p w:rsidR="001A3C44" w:rsidRDefault="008151D4" w:rsidP="008724D9">
      <w:pPr>
        <w:autoSpaceDE w:val="0"/>
        <w:autoSpaceDN w:val="0"/>
        <w:adjustRightInd w:val="0"/>
        <w:ind w:left="1440" w:firstLine="0"/>
        <w:rPr>
          <w:rFonts w:cs="Arial"/>
          <w:color w:val="000000"/>
          <w:szCs w:val="24"/>
        </w:rPr>
      </w:pPr>
      <w:r>
        <w:rPr>
          <w:rFonts w:cs="Arial"/>
          <w:color w:val="000000"/>
          <w:szCs w:val="24"/>
        </w:rPr>
        <w:t>E</w:t>
      </w:r>
      <w:r w:rsidR="008724D9" w:rsidRPr="00E242A8">
        <w:rPr>
          <w:rFonts w:cs="Arial"/>
          <w:color w:val="000000"/>
          <w:szCs w:val="24"/>
        </w:rPr>
        <w:t xml:space="preserve">ffective September 1, 2011; </w:t>
      </w:r>
      <w:r w:rsidR="005C4C46">
        <w:rPr>
          <w:rFonts w:cs="Arial"/>
          <w:color w:val="000000"/>
          <w:szCs w:val="24"/>
        </w:rPr>
        <w:t xml:space="preserve">Texas </w:t>
      </w:r>
      <w:r w:rsidR="008724D9" w:rsidRPr="00E242A8">
        <w:rPr>
          <w:rFonts w:cs="Arial"/>
          <w:color w:val="000000"/>
          <w:szCs w:val="24"/>
        </w:rPr>
        <w:t>Insurance Code Section 4101.053 applies only to an application for a license filed on or after September 1, 2011.</w:t>
      </w:r>
    </w:p>
    <w:p w:rsidR="007A35D1" w:rsidRPr="00E242A8" w:rsidRDefault="007A35D1" w:rsidP="008724D9">
      <w:pPr>
        <w:autoSpaceDE w:val="0"/>
        <w:autoSpaceDN w:val="0"/>
        <w:adjustRightInd w:val="0"/>
        <w:ind w:left="1440" w:firstLine="0"/>
        <w:rPr>
          <w:rFonts w:cs="Arial"/>
          <w:color w:val="000000"/>
          <w:szCs w:val="24"/>
        </w:rPr>
      </w:pPr>
    </w:p>
    <w:p w:rsidR="00E15C63" w:rsidRPr="00E242A8" w:rsidRDefault="008D58AD" w:rsidP="007A35D1">
      <w:pPr>
        <w:autoSpaceDE w:val="0"/>
        <w:autoSpaceDN w:val="0"/>
        <w:adjustRightInd w:val="0"/>
        <w:ind w:left="1440" w:hanging="1440"/>
        <w:rPr>
          <w:rFonts w:cs="Arial"/>
        </w:rPr>
      </w:pPr>
      <w:hyperlink r:id="rId25" w:history="1">
        <w:r w:rsidR="007A35D1" w:rsidRPr="00E242A8">
          <w:rPr>
            <w:rStyle w:val="Hyperlink"/>
            <w:rFonts w:cs="Arial"/>
            <w:szCs w:val="24"/>
          </w:rPr>
          <w:t>HB3004</w:t>
        </w:r>
      </w:hyperlink>
      <w:r w:rsidR="007A35D1" w:rsidRPr="00E242A8">
        <w:rPr>
          <w:rFonts w:cs="Arial"/>
          <w:color w:val="000000"/>
          <w:szCs w:val="24"/>
        </w:rPr>
        <w:tab/>
      </w:r>
      <w:r w:rsidR="007A35D1" w:rsidRPr="00E242A8">
        <w:rPr>
          <w:rStyle w:val="IntenseEmphasis"/>
          <w:rFonts w:cs="Arial"/>
        </w:rPr>
        <w:t xml:space="preserve">Prepaid </w:t>
      </w:r>
      <w:r w:rsidR="00CB00FA">
        <w:rPr>
          <w:rStyle w:val="IntenseEmphasis"/>
          <w:rFonts w:cs="Arial"/>
        </w:rPr>
        <w:t>F</w:t>
      </w:r>
      <w:r w:rsidR="007A35D1" w:rsidRPr="00E242A8">
        <w:rPr>
          <w:rStyle w:val="IntenseEmphasis"/>
          <w:rFonts w:cs="Arial"/>
        </w:rPr>
        <w:t>uneral</w:t>
      </w:r>
      <w:r w:rsidR="00E242A8">
        <w:rPr>
          <w:rStyle w:val="IntenseEmphasis"/>
          <w:rFonts w:cs="Arial"/>
        </w:rPr>
        <w:t xml:space="preserve"> </w:t>
      </w:r>
      <w:r w:rsidR="00CB00FA">
        <w:rPr>
          <w:rStyle w:val="IntenseEmphasis"/>
          <w:rFonts w:cs="Arial"/>
        </w:rPr>
        <w:t>C</w:t>
      </w:r>
      <w:r w:rsidR="00E242A8">
        <w:rPr>
          <w:rStyle w:val="IntenseEmphasis"/>
          <w:rFonts w:cs="Arial"/>
        </w:rPr>
        <w:t>ontracts --</w:t>
      </w:r>
      <w:r w:rsidR="007A35D1" w:rsidRPr="00E242A8">
        <w:rPr>
          <w:rFonts w:cs="Arial"/>
          <w:b/>
          <w:color w:val="000000"/>
          <w:szCs w:val="24"/>
        </w:rPr>
        <w:t xml:space="preserve"> </w:t>
      </w:r>
      <w:r w:rsidR="007A35D1" w:rsidRPr="00E242A8">
        <w:rPr>
          <w:rFonts w:cs="Arial"/>
        </w:rPr>
        <w:t xml:space="preserve">HB3004 </w:t>
      </w:r>
      <w:r w:rsidR="00F61468" w:rsidRPr="00E242A8">
        <w:rPr>
          <w:rFonts w:cs="Arial"/>
        </w:rPr>
        <w:t xml:space="preserve">extends guaranty fund </w:t>
      </w:r>
      <w:r w:rsidR="007B04DE">
        <w:rPr>
          <w:rFonts w:cs="Arial"/>
        </w:rPr>
        <w:t xml:space="preserve">protections </w:t>
      </w:r>
      <w:r w:rsidR="00F61468" w:rsidRPr="00E242A8">
        <w:rPr>
          <w:rFonts w:cs="Arial"/>
        </w:rPr>
        <w:t xml:space="preserve">under the </w:t>
      </w:r>
      <w:r w:rsidR="007A35D1" w:rsidRPr="00E242A8">
        <w:rPr>
          <w:rFonts w:cs="Arial"/>
        </w:rPr>
        <w:t>Finance</w:t>
      </w:r>
      <w:r w:rsidR="00E242A8">
        <w:rPr>
          <w:rFonts w:cs="Arial"/>
        </w:rPr>
        <w:t xml:space="preserve"> Code</w:t>
      </w:r>
      <w:r w:rsidR="007A35D1" w:rsidRPr="00E242A8">
        <w:rPr>
          <w:rFonts w:cs="Arial"/>
        </w:rPr>
        <w:t xml:space="preserve"> to </w:t>
      </w:r>
      <w:r w:rsidR="00F61468" w:rsidRPr="00E242A8">
        <w:rPr>
          <w:rFonts w:cs="Arial"/>
        </w:rPr>
        <w:t xml:space="preserve">include funeral providers and their </w:t>
      </w:r>
      <w:r w:rsidR="009306CB" w:rsidRPr="00E242A8">
        <w:rPr>
          <w:rFonts w:cs="Arial"/>
        </w:rPr>
        <w:t xml:space="preserve">failure or inability to assume the </w:t>
      </w:r>
      <w:r w:rsidR="00F61468" w:rsidRPr="00E242A8">
        <w:rPr>
          <w:rFonts w:cs="Arial"/>
        </w:rPr>
        <w:t>obligations to the purchasers</w:t>
      </w:r>
      <w:r w:rsidR="009306CB" w:rsidRPr="00E242A8">
        <w:rPr>
          <w:rFonts w:cs="Arial"/>
        </w:rPr>
        <w:t xml:space="preserve"> under prepaid funeral contracts</w:t>
      </w:r>
      <w:r w:rsidR="007A35D1" w:rsidRPr="00E242A8">
        <w:rPr>
          <w:rFonts w:cs="Arial"/>
        </w:rPr>
        <w:t xml:space="preserve">. </w:t>
      </w:r>
      <w:r w:rsidR="00A31BF9" w:rsidRPr="00E242A8">
        <w:rPr>
          <w:rFonts w:cs="Arial"/>
        </w:rPr>
        <w:t xml:space="preserve">The bill </w:t>
      </w:r>
      <w:r w:rsidR="00E15C63" w:rsidRPr="00E242A8">
        <w:rPr>
          <w:rFonts w:cs="Arial"/>
        </w:rPr>
        <w:t xml:space="preserve">provides for the funding of the guaranty fund and </w:t>
      </w:r>
      <w:r w:rsidR="00E242A8">
        <w:rPr>
          <w:rFonts w:cs="Arial"/>
        </w:rPr>
        <w:t>modifies the composition of</w:t>
      </w:r>
      <w:r w:rsidR="00E15C63" w:rsidRPr="00E242A8">
        <w:rPr>
          <w:rFonts w:cs="Arial"/>
        </w:rPr>
        <w:t xml:space="preserve"> the </w:t>
      </w:r>
      <w:r w:rsidR="007B04DE">
        <w:rPr>
          <w:rFonts w:cs="Arial"/>
        </w:rPr>
        <w:t>guaranty fund a</w:t>
      </w:r>
      <w:r w:rsidR="00E15C63" w:rsidRPr="00E242A8">
        <w:rPr>
          <w:rFonts w:cs="Arial"/>
        </w:rPr>
        <w:t xml:space="preserve">dvisory </w:t>
      </w:r>
      <w:r w:rsidR="007B04DE">
        <w:rPr>
          <w:rFonts w:cs="Arial"/>
        </w:rPr>
        <w:t>c</w:t>
      </w:r>
      <w:r w:rsidR="00E15C63" w:rsidRPr="00E242A8">
        <w:rPr>
          <w:rFonts w:cs="Arial"/>
        </w:rPr>
        <w:t>ouncil.</w:t>
      </w:r>
      <w:r w:rsidR="00830ABD">
        <w:rPr>
          <w:rFonts w:cs="Arial"/>
        </w:rPr>
        <w:t xml:space="preserve"> </w:t>
      </w:r>
      <w:r w:rsidR="00E15C63" w:rsidRPr="00E242A8">
        <w:rPr>
          <w:rFonts w:cs="Arial"/>
        </w:rPr>
        <w:t>It allows</w:t>
      </w:r>
      <w:r w:rsidR="00E242A8">
        <w:rPr>
          <w:rFonts w:cs="Arial"/>
        </w:rPr>
        <w:t xml:space="preserve"> the </w:t>
      </w:r>
      <w:r w:rsidR="007B04DE">
        <w:rPr>
          <w:rFonts w:cs="Arial"/>
        </w:rPr>
        <w:t>c</w:t>
      </w:r>
      <w:r w:rsidR="00E242A8">
        <w:rPr>
          <w:rFonts w:cs="Arial"/>
        </w:rPr>
        <w:t>ouncil to hold</w:t>
      </w:r>
      <w:r w:rsidR="00E15C63" w:rsidRPr="00E242A8">
        <w:rPr>
          <w:rFonts w:cs="Arial"/>
        </w:rPr>
        <w:t xml:space="preserve"> open or closed meetings by conference call, video</w:t>
      </w:r>
      <w:r w:rsidR="00546AF8">
        <w:rPr>
          <w:rFonts w:cs="Arial"/>
        </w:rPr>
        <w:t xml:space="preserve"> </w:t>
      </w:r>
      <w:r w:rsidR="00E15C63" w:rsidRPr="00E242A8">
        <w:rPr>
          <w:rFonts w:cs="Arial"/>
        </w:rPr>
        <w:t>conference, or other telecommunication method with certain conditions.</w:t>
      </w:r>
      <w:r w:rsidR="00830ABD">
        <w:rPr>
          <w:rFonts w:cs="Arial"/>
        </w:rPr>
        <w:t xml:space="preserve"> </w:t>
      </w:r>
      <w:r w:rsidR="00E15C63" w:rsidRPr="00E242A8">
        <w:rPr>
          <w:rFonts w:cs="Arial"/>
        </w:rPr>
        <w:t>It provides for a claim to be asserted against a funeral provider.</w:t>
      </w:r>
      <w:r w:rsidR="00830ABD">
        <w:rPr>
          <w:rFonts w:cs="Arial"/>
        </w:rPr>
        <w:t xml:space="preserve"> </w:t>
      </w:r>
      <w:r w:rsidR="00E15C63" w:rsidRPr="00E242A8">
        <w:rPr>
          <w:rFonts w:cs="Arial"/>
        </w:rPr>
        <w:t xml:space="preserve">The bill establishes requirements for a permit holder to ensure the obligations under the prepaid funeral benefit contract are fulfilled by the funeral provider and requires reporting of certain information to the </w:t>
      </w:r>
      <w:r w:rsidR="007B04DE">
        <w:rPr>
          <w:rFonts w:cs="Arial"/>
        </w:rPr>
        <w:t>c</w:t>
      </w:r>
      <w:r w:rsidR="00E15C63" w:rsidRPr="00E242A8">
        <w:rPr>
          <w:rFonts w:cs="Arial"/>
        </w:rPr>
        <w:t>ouncil if the permit holder is unable to find a replacement funeral provider.</w:t>
      </w:r>
    </w:p>
    <w:p w:rsidR="00546AF8" w:rsidRDefault="00546AF8" w:rsidP="00E15C63">
      <w:pPr>
        <w:autoSpaceDE w:val="0"/>
        <w:autoSpaceDN w:val="0"/>
        <w:adjustRightInd w:val="0"/>
        <w:ind w:left="1440" w:firstLine="0"/>
        <w:rPr>
          <w:rFonts w:cs="Arial"/>
        </w:rPr>
      </w:pPr>
    </w:p>
    <w:p w:rsidR="007A35D1" w:rsidRPr="00E242A8" w:rsidRDefault="00E15C63" w:rsidP="00E15C63">
      <w:pPr>
        <w:autoSpaceDE w:val="0"/>
        <w:autoSpaceDN w:val="0"/>
        <w:adjustRightInd w:val="0"/>
        <w:ind w:left="1440" w:firstLine="0"/>
        <w:rPr>
          <w:rFonts w:cs="Arial"/>
        </w:rPr>
      </w:pPr>
      <w:r w:rsidRPr="00E242A8">
        <w:rPr>
          <w:rFonts w:cs="Arial"/>
        </w:rPr>
        <w:t xml:space="preserve">Effective June 17, 2011; does not apply to a loss under a prepaid funeral contract sold before </w:t>
      </w:r>
      <w:r w:rsidR="00E242A8" w:rsidRPr="00E242A8">
        <w:rPr>
          <w:rFonts w:cs="Arial"/>
        </w:rPr>
        <w:t xml:space="preserve">June 17, </w:t>
      </w:r>
      <w:r w:rsidRPr="00E242A8">
        <w:rPr>
          <w:rFonts w:cs="Arial"/>
        </w:rPr>
        <w:t>2011 that arises from or relates to:</w:t>
      </w:r>
      <w:r w:rsidR="00830ABD">
        <w:rPr>
          <w:rFonts w:cs="Arial"/>
        </w:rPr>
        <w:t xml:space="preserve"> </w:t>
      </w:r>
      <w:r w:rsidRPr="00E242A8">
        <w:rPr>
          <w:rFonts w:cs="Arial"/>
        </w:rPr>
        <w:t>(1) default attributable to the funeral provider</w:t>
      </w:r>
      <w:r w:rsidR="008151D4">
        <w:rPr>
          <w:rFonts w:cs="Arial"/>
        </w:rPr>
        <w:t>,</w:t>
      </w:r>
      <w:r w:rsidRPr="00E242A8">
        <w:rPr>
          <w:rFonts w:cs="Arial"/>
        </w:rPr>
        <w:t xml:space="preserve"> unless the funeral provider is the contract seller; or (2) bankruptcy, receivership, seizure, or other failure of the funeral provider</w:t>
      </w:r>
      <w:r w:rsidR="008151D4">
        <w:rPr>
          <w:rFonts w:cs="Arial"/>
        </w:rPr>
        <w:t>,</w:t>
      </w:r>
      <w:r w:rsidRPr="00E242A8">
        <w:rPr>
          <w:rFonts w:cs="Arial"/>
        </w:rPr>
        <w:t xml:space="preserve"> unless the funeral provider is also the contract seller</w:t>
      </w:r>
      <w:r w:rsidR="00F857E2">
        <w:rPr>
          <w:rFonts w:cs="Arial"/>
        </w:rPr>
        <w:t>.</w:t>
      </w:r>
    </w:p>
    <w:p w:rsidR="008724D9" w:rsidRPr="00E242A8" w:rsidRDefault="008724D9" w:rsidP="008724D9">
      <w:pPr>
        <w:autoSpaceDE w:val="0"/>
        <w:autoSpaceDN w:val="0"/>
        <w:adjustRightInd w:val="0"/>
        <w:ind w:left="1440" w:firstLine="0"/>
        <w:rPr>
          <w:rFonts w:cs="Arial"/>
          <w:color w:val="000000"/>
          <w:szCs w:val="24"/>
        </w:rPr>
      </w:pPr>
    </w:p>
    <w:p w:rsidR="00F91CAB" w:rsidRDefault="008D58AD" w:rsidP="00E242A8">
      <w:pPr>
        <w:autoSpaceDE w:val="0"/>
        <w:autoSpaceDN w:val="0"/>
        <w:adjustRightInd w:val="0"/>
        <w:ind w:left="1440" w:hanging="1440"/>
      </w:pPr>
      <w:hyperlink r:id="rId26" w:history="1">
        <w:r w:rsidR="00E242A8" w:rsidRPr="00E242A8">
          <w:rPr>
            <w:rStyle w:val="Hyperlink"/>
            <w:rFonts w:cs="Arial"/>
            <w:szCs w:val="24"/>
          </w:rPr>
          <w:t>HB3017</w:t>
        </w:r>
      </w:hyperlink>
      <w:r w:rsidR="00E242A8">
        <w:rPr>
          <w:rFonts w:cs="Arial"/>
          <w:color w:val="000000"/>
          <w:szCs w:val="24"/>
        </w:rPr>
        <w:tab/>
      </w:r>
      <w:r w:rsidR="008151D4" w:rsidRPr="008151D4">
        <w:rPr>
          <w:rStyle w:val="IntenseEmphasis"/>
        </w:rPr>
        <w:t xml:space="preserve">Discretionary </w:t>
      </w:r>
      <w:r w:rsidR="00CB00FA">
        <w:rPr>
          <w:rStyle w:val="IntenseEmphasis"/>
        </w:rPr>
        <w:t>C</w:t>
      </w:r>
      <w:r w:rsidR="008151D4" w:rsidRPr="008151D4">
        <w:rPr>
          <w:rStyle w:val="IntenseEmphasis"/>
        </w:rPr>
        <w:t xml:space="preserve">lauses </w:t>
      </w:r>
      <w:r w:rsidR="00F91CAB">
        <w:rPr>
          <w:rStyle w:val="IntenseEmphasis"/>
        </w:rPr>
        <w:t>–</w:t>
      </w:r>
      <w:r w:rsidR="008151D4">
        <w:rPr>
          <w:rFonts w:cs="Arial"/>
          <w:color w:val="000000"/>
          <w:szCs w:val="24"/>
        </w:rPr>
        <w:t xml:space="preserve"> </w:t>
      </w:r>
      <w:r w:rsidR="00F91CAB">
        <w:rPr>
          <w:rFonts w:cs="Arial"/>
          <w:color w:val="000000"/>
          <w:szCs w:val="24"/>
        </w:rPr>
        <w:t xml:space="preserve">HB3017 </w:t>
      </w:r>
      <w:r w:rsidR="00F91CAB" w:rsidRPr="008151D4">
        <w:t xml:space="preserve">prohibits discretionary clauses in </w:t>
      </w:r>
      <w:r w:rsidR="00F91CAB">
        <w:t>a</w:t>
      </w:r>
      <w:r w:rsidR="00B9732F">
        <w:t>n</w:t>
      </w:r>
      <w:r w:rsidR="00F91CAB">
        <w:t xml:space="preserve"> </w:t>
      </w:r>
      <w:r w:rsidR="00F91CAB" w:rsidRPr="008151D4">
        <w:t xml:space="preserve">HMO evidence of coverage </w:t>
      </w:r>
      <w:r w:rsidR="00F91CAB">
        <w:t>(EOC),</w:t>
      </w:r>
      <w:r w:rsidR="004A3C2F">
        <w:t xml:space="preserve"> </w:t>
      </w:r>
      <w:r w:rsidR="00F91CAB" w:rsidRPr="008151D4">
        <w:t xml:space="preserve">a policy of life, accident and health, medical </w:t>
      </w:r>
      <w:r w:rsidR="00F91CAB">
        <w:t xml:space="preserve">or </w:t>
      </w:r>
      <w:r w:rsidR="00F91CAB" w:rsidRPr="008151D4">
        <w:t>surgical</w:t>
      </w:r>
      <w:r w:rsidR="00F91CAB">
        <w:t xml:space="preserve"> insurance, or an </w:t>
      </w:r>
      <w:r w:rsidR="00F91CAB" w:rsidRPr="008151D4">
        <w:t>endowment or annuity co</w:t>
      </w:r>
      <w:r w:rsidR="00F91CAB">
        <w:t>ntract</w:t>
      </w:r>
      <w:r w:rsidR="00F91CAB" w:rsidRPr="008151D4">
        <w:t xml:space="preserve">, </w:t>
      </w:r>
      <w:r w:rsidR="00F91CAB">
        <w:t xml:space="preserve">including </w:t>
      </w:r>
      <w:r w:rsidR="00F91CAB" w:rsidRPr="008151D4">
        <w:t>application</w:t>
      </w:r>
      <w:r w:rsidR="00F91CAB">
        <w:t>s</w:t>
      </w:r>
      <w:r w:rsidR="00F91CAB" w:rsidRPr="008151D4">
        <w:t xml:space="preserve"> or rider</w:t>
      </w:r>
      <w:r w:rsidR="00F91CAB">
        <w:t>s</w:t>
      </w:r>
      <w:r w:rsidR="00F91CAB" w:rsidRPr="008151D4">
        <w:t>. The bill establishes criteria for determining if a clause in a</w:t>
      </w:r>
      <w:r w:rsidR="00F91CAB">
        <w:t xml:space="preserve">n </w:t>
      </w:r>
      <w:r w:rsidR="00F91CAB" w:rsidRPr="008151D4">
        <w:t>EOC</w:t>
      </w:r>
      <w:r w:rsidR="00F91CAB">
        <w:t xml:space="preserve">, </w:t>
      </w:r>
      <w:r w:rsidR="00F91CAB" w:rsidRPr="008151D4">
        <w:t>policy, contract or certifi</w:t>
      </w:r>
      <w:r w:rsidR="00F91CAB">
        <w:t>cate is a discretionary clause.</w:t>
      </w:r>
    </w:p>
    <w:p w:rsidR="00F91CAB" w:rsidRDefault="00F91CAB" w:rsidP="00F91CAB">
      <w:pPr>
        <w:autoSpaceDE w:val="0"/>
        <w:autoSpaceDN w:val="0"/>
        <w:adjustRightInd w:val="0"/>
        <w:ind w:left="1440" w:firstLine="0"/>
      </w:pPr>
    </w:p>
    <w:p w:rsidR="008724D9" w:rsidRPr="00E242A8" w:rsidRDefault="00F91CAB" w:rsidP="00F91CAB">
      <w:pPr>
        <w:autoSpaceDE w:val="0"/>
        <w:autoSpaceDN w:val="0"/>
        <w:adjustRightInd w:val="0"/>
        <w:ind w:left="1440" w:firstLine="0"/>
        <w:rPr>
          <w:rFonts w:cs="Arial"/>
          <w:color w:val="000000"/>
          <w:szCs w:val="24"/>
        </w:rPr>
      </w:pPr>
      <w:r w:rsidRPr="008151D4">
        <w:lastRenderedPageBreak/>
        <w:t>Effective June 17, 2011; applies only to a document or EOC that is delivered, issued for delivery or renewed on or after January 1, 2012.</w:t>
      </w:r>
    </w:p>
    <w:p w:rsidR="008724D9" w:rsidRDefault="008724D9" w:rsidP="008724D9">
      <w:pPr>
        <w:autoSpaceDE w:val="0"/>
        <w:autoSpaceDN w:val="0"/>
        <w:adjustRightInd w:val="0"/>
        <w:ind w:left="1440" w:firstLine="0"/>
        <w:rPr>
          <w:rFonts w:cs="Arial"/>
          <w:color w:val="002240"/>
          <w:szCs w:val="24"/>
        </w:rPr>
      </w:pPr>
    </w:p>
    <w:p w:rsidR="008151D4" w:rsidRPr="00E242A8" w:rsidRDefault="008151D4" w:rsidP="00692E48">
      <w:pPr>
        <w:autoSpaceDE w:val="0"/>
        <w:autoSpaceDN w:val="0"/>
        <w:adjustRightInd w:val="0"/>
        <w:ind w:left="1440" w:firstLine="0"/>
        <w:rPr>
          <w:rFonts w:cs="Arial"/>
          <w:color w:val="002240"/>
          <w:szCs w:val="24"/>
        </w:rPr>
      </w:pPr>
    </w:p>
    <w:p w:rsidR="00B179F8" w:rsidRPr="00E242A8" w:rsidRDefault="00555422" w:rsidP="00830ABD">
      <w:pPr>
        <w:pStyle w:val="Heading2"/>
      </w:pPr>
      <w:r w:rsidRPr="00E242A8">
        <w:t>Senate</w:t>
      </w:r>
      <w:r w:rsidR="00B179F8" w:rsidRPr="00E242A8">
        <w:t xml:space="preserve"> B</w:t>
      </w:r>
      <w:r w:rsidRPr="00E242A8">
        <w:t>ills</w:t>
      </w:r>
    </w:p>
    <w:p w:rsidR="00B179F8" w:rsidRPr="00E242A8" w:rsidRDefault="00B179F8" w:rsidP="00B179F8">
      <w:pPr>
        <w:ind w:left="1440" w:hanging="1440"/>
        <w:rPr>
          <w:rFonts w:cs="Arial"/>
          <w:color w:val="000000"/>
          <w:szCs w:val="24"/>
        </w:rPr>
      </w:pPr>
    </w:p>
    <w:p w:rsidR="00B179F8" w:rsidRPr="00692E48" w:rsidRDefault="00B179F8" w:rsidP="00B179F8">
      <w:pPr>
        <w:ind w:left="1440" w:hanging="1440"/>
        <w:rPr>
          <w:rFonts w:cs="Arial"/>
          <w:color w:val="000000"/>
          <w:szCs w:val="24"/>
        </w:rPr>
      </w:pPr>
    </w:p>
    <w:p w:rsidR="00957EAD" w:rsidRDefault="008D58AD" w:rsidP="00957EAD">
      <w:pPr>
        <w:suppressAutoHyphens/>
        <w:spacing w:line="240" w:lineRule="atLeast"/>
        <w:ind w:left="1440" w:hanging="1440"/>
        <w:rPr>
          <w:color w:val="000000"/>
        </w:rPr>
      </w:pPr>
      <w:hyperlink r:id="rId27" w:history="1">
        <w:r w:rsidR="00BD43BC" w:rsidRPr="00BD43BC">
          <w:rPr>
            <w:rStyle w:val="Hyperlink"/>
            <w:rFonts w:cs="Arial"/>
            <w:szCs w:val="24"/>
          </w:rPr>
          <w:t>SB0007</w:t>
        </w:r>
      </w:hyperlink>
      <w:r w:rsidR="00BD43BC">
        <w:rPr>
          <w:rFonts w:cs="Arial"/>
          <w:color w:val="000000"/>
          <w:szCs w:val="24"/>
        </w:rPr>
        <w:tab/>
      </w:r>
      <w:r w:rsidR="00BD43BC" w:rsidRPr="00BD43BC">
        <w:rPr>
          <w:rStyle w:val="IntenseEmphasis"/>
        </w:rPr>
        <w:t>Health</w:t>
      </w:r>
      <w:r w:rsidR="00B85020">
        <w:rPr>
          <w:rStyle w:val="IntenseEmphasis"/>
        </w:rPr>
        <w:t xml:space="preserve"> </w:t>
      </w:r>
      <w:r w:rsidR="00CB00FA">
        <w:rPr>
          <w:rStyle w:val="IntenseEmphasis"/>
        </w:rPr>
        <w:t>C</w:t>
      </w:r>
      <w:r w:rsidR="00BD43BC" w:rsidRPr="00BD43BC">
        <w:rPr>
          <w:rStyle w:val="IntenseEmphasis"/>
        </w:rPr>
        <w:t xml:space="preserve">are </w:t>
      </w:r>
      <w:proofErr w:type="spellStart"/>
      <w:r w:rsidR="00CB00FA">
        <w:rPr>
          <w:rStyle w:val="IntenseEmphasis"/>
        </w:rPr>
        <w:t>C</w:t>
      </w:r>
      <w:r w:rsidR="00BD43BC" w:rsidRPr="00BD43BC">
        <w:rPr>
          <w:rStyle w:val="IntenseEmphasis"/>
        </w:rPr>
        <w:t>ollaboratives</w:t>
      </w:r>
      <w:proofErr w:type="spellEnd"/>
      <w:r w:rsidR="00C24520">
        <w:rPr>
          <w:rStyle w:val="IntenseEmphasis"/>
        </w:rPr>
        <w:t xml:space="preserve"> (</w:t>
      </w:r>
      <w:proofErr w:type="spellStart"/>
      <w:r w:rsidR="00CB00FA">
        <w:rPr>
          <w:rStyle w:val="IntenseEmphasis"/>
        </w:rPr>
        <w:t>C</w:t>
      </w:r>
      <w:r w:rsidR="00C24520">
        <w:rPr>
          <w:rStyle w:val="IntenseEmphasis"/>
        </w:rPr>
        <w:t>ollaboratives</w:t>
      </w:r>
      <w:proofErr w:type="spellEnd"/>
      <w:r w:rsidR="00C24520">
        <w:rPr>
          <w:rStyle w:val="IntenseEmphasis"/>
        </w:rPr>
        <w:t>)</w:t>
      </w:r>
      <w:r w:rsidR="00CD3462">
        <w:rPr>
          <w:rFonts w:cs="Arial"/>
          <w:color w:val="000000"/>
          <w:szCs w:val="24"/>
        </w:rPr>
        <w:t xml:space="preserve"> </w:t>
      </w:r>
      <w:r w:rsidR="00D924B0" w:rsidRPr="00D924B0">
        <w:rPr>
          <w:rFonts w:cs="Arial"/>
          <w:b/>
          <w:color w:val="000000"/>
          <w:szCs w:val="24"/>
        </w:rPr>
        <w:t xml:space="preserve">-- </w:t>
      </w:r>
      <w:r w:rsidR="00957EAD">
        <w:rPr>
          <w:rFonts w:cs="Arial"/>
          <w:color w:val="000000"/>
          <w:szCs w:val="24"/>
        </w:rPr>
        <w:t xml:space="preserve">SB0007 provides for </w:t>
      </w:r>
      <w:r w:rsidR="00957EAD">
        <w:rPr>
          <w:color w:val="000000"/>
        </w:rPr>
        <w:t xml:space="preserve">the </w:t>
      </w:r>
      <w:r w:rsidR="00957EAD">
        <w:t xml:space="preserve">administration, quality, and efficiency of health care, health and human services, and health benefits programs in Texas. It provides for the formation and governance of </w:t>
      </w:r>
      <w:proofErr w:type="spellStart"/>
      <w:r w:rsidR="00957EAD">
        <w:t>collaboratives</w:t>
      </w:r>
      <w:proofErr w:type="spellEnd"/>
      <w:r w:rsidR="00957EAD">
        <w:t xml:space="preserve"> that will arrange for health care services for insurers, </w:t>
      </w:r>
      <w:r w:rsidR="005C28A4">
        <w:t>HMOs</w:t>
      </w:r>
      <w:r w:rsidR="00957EAD">
        <w:t xml:space="preserve">, and other </w:t>
      </w:r>
      <w:proofErr w:type="spellStart"/>
      <w:r w:rsidR="00957EAD">
        <w:t>payors</w:t>
      </w:r>
      <w:proofErr w:type="spellEnd"/>
      <w:r w:rsidR="00957EAD">
        <w:t xml:space="preserve"> </w:t>
      </w:r>
      <w:r w:rsidR="00957EAD" w:rsidRPr="00957EAD">
        <w:rPr>
          <w:rFonts w:eastAsia="Calibri" w:cs="Times New Roman"/>
          <w:color w:val="auto"/>
        </w:rPr>
        <w:t>in exchange for payments in cash or kind</w:t>
      </w:r>
      <w:r w:rsidR="00957EAD">
        <w:t xml:space="preserve">. The </w:t>
      </w:r>
      <w:proofErr w:type="spellStart"/>
      <w:r w:rsidR="00957EAD">
        <w:t>collaboratives</w:t>
      </w:r>
      <w:proofErr w:type="spellEnd"/>
      <w:r w:rsidR="00957EAD">
        <w:t xml:space="preserve"> may consist of various combinations of physicians, insurers, and other providers. The </w:t>
      </w:r>
      <w:proofErr w:type="spellStart"/>
      <w:r w:rsidR="00957EAD">
        <w:t>collaboratives</w:t>
      </w:r>
      <w:proofErr w:type="spellEnd"/>
      <w:r w:rsidR="00957EAD">
        <w:t xml:space="preserve"> will be certified by TDI with review by the Texas Attorney General and will be able to </w:t>
      </w:r>
      <w:r w:rsidR="00957EAD">
        <w:rPr>
          <w:color w:val="000000"/>
        </w:rPr>
        <w:t xml:space="preserve">accept and distribute payments </w:t>
      </w:r>
      <w:r w:rsidR="00957EAD" w:rsidRPr="00957EAD">
        <w:rPr>
          <w:rFonts w:eastAsia="Calibri" w:cs="Times New Roman"/>
          <w:color w:val="auto"/>
        </w:rPr>
        <w:t>for medical and health care services</w:t>
      </w:r>
      <w:r w:rsidR="00957EAD">
        <w:rPr>
          <w:color w:val="000000"/>
        </w:rPr>
        <w:t xml:space="preserve">. </w:t>
      </w:r>
      <w:r w:rsidR="00957EAD" w:rsidRPr="00957EAD">
        <w:rPr>
          <w:rFonts w:eastAsia="Calibri" w:cs="Times New Roman"/>
          <w:color w:val="auto"/>
        </w:rPr>
        <w:t xml:space="preserve">Rules implementing regulation of </w:t>
      </w:r>
      <w:proofErr w:type="spellStart"/>
      <w:r w:rsidR="00957EAD" w:rsidRPr="00957EAD">
        <w:rPr>
          <w:rFonts w:eastAsia="Calibri" w:cs="Times New Roman"/>
          <w:color w:val="auto"/>
        </w:rPr>
        <w:t>collaboratives</w:t>
      </w:r>
      <w:proofErr w:type="spellEnd"/>
      <w:r w:rsidR="00957EAD" w:rsidRPr="000C541E">
        <w:rPr>
          <w:rFonts w:eastAsia="Calibri" w:cs="Times New Roman"/>
          <w:color w:val="FF0000"/>
        </w:rPr>
        <w:t xml:space="preserve"> </w:t>
      </w:r>
      <w:r w:rsidR="00957EAD">
        <w:rPr>
          <w:color w:val="000000"/>
        </w:rPr>
        <w:t xml:space="preserve">are to be adopted by </w:t>
      </w:r>
      <w:r w:rsidR="00957EAD" w:rsidRPr="00957EAD">
        <w:rPr>
          <w:rFonts w:eastAsia="Calibri" w:cs="Times New Roman"/>
          <w:color w:val="auto"/>
        </w:rPr>
        <w:t>the commissioner and attorney general</w:t>
      </w:r>
      <w:r w:rsidR="00957EAD">
        <w:rPr>
          <w:rFonts w:eastAsia="Calibri" w:cs="Times New Roman"/>
          <w:color w:val="000000"/>
        </w:rPr>
        <w:t xml:space="preserve"> </w:t>
      </w:r>
      <w:r w:rsidR="00957EAD">
        <w:rPr>
          <w:color w:val="000000"/>
        </w:rPr>
        <w:t>by September 1, 2012.</w:t>
      </w:r>
    </w:p>
    <w:p w:rsidR="00DA66E0" w:rsidRDefault="00DA66E0" w:rsidP="00692E48">
      <w:pPr>
        <w:suppressAutoHyphens/>
        <w:spacing w:line="240" w:lineRule="atLeast"/>
        <w:ind w:left="1440" w:firstLine="0"/>
        <w:rPr>
          <w:color w:val="000000"/>
        </w:rPr>
      </w:pPr>
    </w:p>
    <w:p w:rsidR="00DA66E0" w:rsidRDefault="00DA66E0" w:rsidP="00DA66E0">
      <w:pPr>
        <w:suppressAutoHyphens/>
        <w:spacing w:line="240" w:lineRule="atLeast"/>
        <w:ind w:left="1440" w:firstLine="0"/>
        <w:rPr>
          <w:color w:val="000000"/>
        </w:rPr>
      </w:pPr>
      <w:r w:rsidRPr="00DA66E0">
        <w:rPr>
          <w:rStyle w:val="IntenseEmphasis"/>
        </w:rPr>
        <w:t xml:space="preserve">Texas Institute </w:t>
      </w:r>
      <w:r w:rsidR="006A4BEA">
        <w:rPr>
          <w:rStyle w:val="IntenseEmphasis"/>
        </w:rPr>
        <w:t>o</w:t>
      </w:r>
      <w:r w:rsidRPr="00DA66E0">
        <w:rPr>
          <w:rStyle w:val="IntenseEmphasis"/>
        </w:rPr>
        <w:t xml:space="preserve">f Health Care Quality </w:t>
      </w:r>
      <w:r w:rsidR="006A4BEA">
        <w:rPr>
          <w:rStyle w:val="IntenseEmphasis"/>
        </w:rPr>
        <w:t>a</w:t>
      </w:r>
      <w:r w:rsidRPr="00DA66E0">
        <w:rPr>
          <w:rStyle w:val="IntenseEmphasis"/>
        </w:rPr>
        <w:t xml:space="preserve">nd Efficiency </w:t>
      </w:r>
      <w:r>
        <w:rPr>
          <w:rStyle w:val="IntenseEmphasis"/>
        </w:rPr>
        <w:t>--</w:t>
      </w:r>
      <w:r>
        <w:rPr>
          <w:color w:val="000000"/>
        </w:rPr>
        <w:t xml:space="preserve"> SB0007 establishes the Texas Institute of Health Care Quality and Efficiency that will, among other things, conduct certain studies with the assistance of and in coordination with TDI and make recommendations to the Legislature on how to improve the quality and efficiency of health care.</w:t>
      </w:r>
    </w:p>
    <w:p w:rsidR="00DA66E0" w:rsidRDefault="00DA66E0" w:rsidP="00DA66E0">
      <w:pPr>
        <w:suppressAutoHyphens/>
        <w:spacing w:line="240" w:lineRule="atLeast"/>
        <w:ind w:left="1440" w:firstLine="0"/>
        <w:rPr>
          <w:color w:val="000000"/>
        </w:rPr>
      </w:pPr>
    </w:p>
    <w:p w:rsidR="00DA66E0" w:rsidRDefault="00DA66E0" w:rsidP="00DA66E0">
      <w:pPr>
        <w:suppressAutoHyphens/>
        <w:spacing w:line="240" w:lineRule="atLeast"/>
        <w:ind w:left="1440" w:firstLine="0"/>
        <w:rPr>
          <w:color w:val="000000"/>
        </w:rPr>
      </w:pPr>
      <w:r w:rsidRPr="00DA66E0">
        <w:rPr>
          <w:rStyle w:val="IntenseEmphasis"/>
        </w:rPr>
        <w:t xml:space="preserve">Medicaid </w:t>
      </w:r>
      <w:r w:rsidR="00CB00FA">
        <w:rPr>
          <w:rStyle w:val="IntenseEmphasis"/>
        </w:rPr>
        <w:t>E</w:t>
      </w:r>
      <w:r w:rsidR="00CD3462">
        <w:rPr>
          <w:rStyle w:val="IntenseEmphasis"/>
        </w:rPr>
        <w:t xml:space="preserve">xpansion </w:t>
      </w:r>
      <w:r w:rsidRPr="00DA66E0">
        <w:rPr>
          <w:rStyle w:val="IntenseEmphasis"/>
        </w:rPr>
        <w:t>--</w:t>
      </w:r>
      <w:r>
        <w:rPr>
          <w:color w:val="000000"/>
        </w:rPr>
        <w:t xml:space="preserve"> </w:t>
      </w:r>
      <w:r w:rsidR="00D22FE6">
        <w:rPr>
          <w:color w:val="000000"/>
        </w:rPr>
        <w:t>SB0007</w:t>
      </w:r>
      <w:r>
        <w:rPr>
          <w:color w:val="000000"/>
        </w:rPr>
        <w:t xml:space="preserve"> allows the expansion of managed care in certain counties in South Texas and makes additional changes to the provision of Medicaid services in the state and promot</w:t>
      </w:r>
      <w:r w:rsidR="00B9732F">
        <w:rPr>
          <w:color w:val="000000"/>
        </w:rPr>
        <w:t>ing</w:t>
      </w:r>
      <w:r>
        <w:rPr>
          <w:color w:val="000000"/>
        </w:rPr>
        <w:t xml:space="preserve"> efficiencies in the delivery of those services.</w:t>
      </w:r>
    </w:p>
    <w:p w:rsidR="00DA66E0" w:rsidRDefault="00DA66E0" w:rsidP="00DA66E0">
      <w:pPr>
        <w:suppressAutoHyphens/>
        <w:spacing w:line="240" w:lineRule="atLeast"/>
        <w:ind w:left="1440" w:firstLine="0"/>
        <w:rPr>
          <w:color w:val="000000"/>
        </w:rPr>
      </w:pPr>
    </w:p>
    <w:p w:rsidR="00DA66E0" w:rsidRDefault="00DA66E0" w:rsidP="00DA66E0">
      <w:pPr>
        <w:suppressAutoHyphens/>
        <w:spacing w:line="240" w:lineRule="atLeast"/>
        <w:ind w:left="1440" w:firstLine="0"/>
      </w:pPr>
      <w:r w:rsidRPr="00DA66E0">
        <w:rPr>
          <w:rStyle w:val="IntenseEmphasis"/>
        </w:rPr>
        <w:t xml:space="preserve">State </w:t>
      </w:r>
      <w:r w:rsidR="00CB00FA">
        <w:rPr>
          <w:rStyle w:val="IntenseEmphasis"/>
        </w:rPr>
        <w:t>K</w:t>
      </w:r>
      <w:r w:rsidRPr="00DA66E0">
        <w:rPr>
          <w:rStyle w:val="IntenseEmphasis"/>
        </w:rPr>
        <w:t>ids Insurance Program --</w:t>
      </w:r>
      <w:r>
        <w:t xml:space="preserve"> </w:t>
      </w:r>
      <w:r w:rsidR="00D22FE6">
        <w:rPr>
          <w:color w:val="000000"/>
        </w:rPr>
        <w:t>SB0007</w:t>
      </w:r>
      <w:r w:rsidR="00DB625E">
        <w:rPr>
          <w:color w:val="000000"/>
        </w:rPr>
        <w:t xml:space="preserve"> </w:t>
      </w:r>
      <w:r>
        <w:rPr>
          <w:color w:val="000000"/>
        </w:rPr>
        <w:t xml:space="preserve">abolishes the </w:t>
      </w:r>
      <w:r>
        <w:t xml:space="preserve">State Kids Insurance Program operated by the Employees Retirement System of Texas (ERS) and directs the Health and Human Services Commission to establish a process in cooperation with ERS to facilitate the enrollment of eligible children in the child health plan program established under </w:t>
      </w:r>
      <w:r w:rsidR="00BB18DD">
        <w:t xml:space="preserve">the </w:t>
      </w:r>
      <w:r>
        <w:t xml:space="preserve">Health and Safety Code </w:t>
      </w:r>
      <w:r w:rsidR="00BB18DD">
        <w:t>Chapter 62</w:t>
      </w:r>
      <w:r w:rsidR="00957EAD">
        <w:t xml:space="preserve"> (CHIP)</w:t>
      </w:r>
      <w:r w:rsidR="00957EAD">
        <w:rPr>
          <w:color w:val="000000"/>
        </w:rPr>
        <w:t xml:space="preserve"> </w:t>
      </w:r>
      <w:r>
        <w:rPr>
          <w:color w:val="000000"/>
        </w:rPr>
        <w:t xml:space="preserve">and to </w:t>
      </w:r>
      <w:r>
        <w:t xml:space="preserve">ensure that those children maintain continuous health benefit coverage during the transition. </w:t>
      </w:r>
      <w:r>
        <w:rPr>
          <w:snapToGrid w:val="0"/>
        </w:rPr>
        <w:t>The Act requires</w:t>
      </w:r>
      <w:r>
        <w:t xml:space="preserve"> the Health and Human Services Commission to take any action that the commission determines is necessary and appropriate, including expedited and emergency action, to ensure the timely implementation of the relevant provisions of this bill by its effective date of September 28, 2011, including the adoption of administrative rules, the preparation and submission of any required waivers or state plan amendments, and the preparation and execution of any necessary </w:t>
      </w:r>
      <w:r w:rsidR="00DB625E">
        <w:t>contract changes or amendments.</w:t>
      </w:r>
    </w:p>
    <w:p w:rsidR="00DB625E" w:rsidRDefault="00DB625E" w:rsidP="00DA66E0">
      <w:pPr>
        <w:suppressAutoHyphens/>
        <w:spacing w:line="240" w:lineRule="atLeast"/>
        <w:ind w:left="1440" w:firstLine="0"/>
        <w:rPr>
          <w:snapToGrid w:val="0"/>
        </w:rPr>
      </w:pPr>
    </w:p>
    <w:p w:rsidR="00D22FE6" w:rsidRDefault="00D22FE6" w:rsidP="00DB625E">
      <w:pPr>
        <w:pStyle w:val="NormalWeb"/>
        <w:shd w:val="clear" w:color="auto" w:fill="FFFFFF"/>
        <w:spacing w:before="0" w:beforeAutospacing="0" w:after="0" w:afterAutospacing="0"/>
        <w:ind w:left="1440"/>
        <w:rPr>
          <w:sz w:val="26"/>
          <w:szCs w:val="26"/>
        </w:rPr>
      </w:pPr>
      <w:r w:rsidRPr="00D22FE6">
        <w:rPr>
          <w:rStyle w:val="IntenseEmphasis"/>
        </w:rPr>
        <w:lastRenderedPageBreak/>
        <w:t xml:space="preserve">Interstate </w:t>
      </w:r>
      <w:r>
        <w:rPr>
          <w:rStyle w:val="IntenseEmphasis"/>
        </w:rPr>
        <w:t xml:space="preserve">Health Care </w:t>
      </w:r>
      <w:r w:rsidRPr="00D22FE6">
        <w:rPr>
          <w:rStyle w:val="IntenseEmphasis"/>
        </w:rPr>
        <w:t>Compact --</w:t>
      </w:r>
      <w:r>
        <w:rPr>
          <w:rFonts w:cs="Arial"/>
          <w:color w:val="000000"/>
        </w:rPr>
        <w:t xml:space="preserve"> </w:t>
      </w:r>
      <w:r w:rsidRPr="00D22FE6">
        <w:rPr>
          <w:rFonts w:ascii="Arial" w:eastAsiaTheme="minorHAnsi" w:hAnsi="Arial" w:cstheme="minorBidi"/>
          <w:color w:val="000000" w:themeColor="text1"/>
          <w:szCs w:val="22"/>
        </w:rPr>
        <w:t xml:space="preserve">SB0007 </w:t>
      </w:r>
      <w:r w:rsidR="00DB625E">
        <w:rPr>
          <w:rFonts w:ascii="Arial" w:eastAsiaTheme="minorHAnsi" w:hAnsi="Arial" w:cstheme="minorBidi"/>
          <w:color w:val="000000" w:themeColor="text1"/>
          <w:szCs w:val="22"/>
        </w:rPr>
        <w:t>adds</w:t>
      </w:r>
      <w:r w:rsidR="00BB18DD">
        <w:rPr>
          <w:rFonts w:ascii="Arial" w:eastAsiaTheme="minorHAnsi" w:hAnsi="Arial" w:cstheme="minorBidi"/>
          <w:color w:val="000000" w:themeColor="text1"/>
          <w:szCs w:val="22"/>
        </w:rPr>
        <w:t xml:space="preserve"> the</w:t>
      </w:r>
      <w:r w:rsidR="00DB625E">
        <w:rPr>
          <w:rFonts w:ascii="Arial" w:eastAsiaTheme="minorHAnsi" w:hAnsi="Arial" w:cstheme="minorBidi"/>
          <w:color w:val="000000" w:themeColor="text1"/>
          <w:szCs w:val="22"/>
        </w:rPr>
        <w:t xml:space="preserve"> </w:t>
      </w:r>
      <w:r w:rsidR="0087657D">
        <w:rPr>
          <w:rFonts w:ascii="Arial" w:eastAsiaTheme="minorHAnsi" w:hAnsi="Arial" w:cstheme="minorBidi"/>
          <w:color w:val="000000" w:themeColor="text1"/>
          <w:szCs w:val="22"/>
        </w:rPr>
        <w:t xml:space="preserve">Texas </w:t>
      </w:r>
      <w:r w:rsidR="00DB625E">
        <w:rPr>
          <w:rFonts w:ascii="Arial" w:eastAsiaTheme="minorHAnsi" w:hAnsi="Arial" w:cstheme="minorBidi"/>
          <w:color w:val="000000" w:themeColor="text1"/>
          <w:szCs w:val="22"/>
        </w:rPr>
        <w:t xml:space="preserve">Insurance Code Chapter 5002 to </w:t>
      </w:r>
      <w:r>
        <w:rPr>
          <w:rFonts w:ascii="Arial" w:eastAsiaTheme="minorHAnsi" w:hAnsi="Arial" w:cstheme="minorBidi"/>
          <w:color w:val="000000" w:themeColor="text1"/>
          <w:szCs w:val="22"/>
        </w:rPr>
        <w:t>enact the I</w:t>
      </w:r>
      <w:r w:rsidRPr="00D22FE6">
        <w:rPr>
          <w:rFonts w:ascii="Arial" w:eastAsiaTheme="minorHAnsi" w:hAnsi="Arial" w:cstheme="minorBidi"/>
          <w:color w:val="000000" w:themeColor="text1"/>
          <w:szCs w:val="22"/>
        </w:rPr>
        <w:t xml:space="preserve">nterstate </w:t>
      </w:r>
      <w:r>
        <w:rPr>
          <w:rFonts w:ascii="Arial" w:eastAsiaTheme="minorHAnsi" w:hAnsi="Arial" w:cstheme="minorBidi"/>
          <w:color w:val="000000" w:themeColor="text1"/>
          <w:szCs w:val="22"/>
        </w:rPr>
        <w:t>H</w:t>
      </w:r>
      <w:r w:rsidRPr="00D22FE6">
        <w:rPr>
          <w:rFonts w:ascii="Arial" w:eastAsiaTheme="minorHAnsi" w:hAnsi="Arial" w:cstheme="minorBidi"/>
          <w:color w:val="000000" w:themeColor="text1"/>
          <w:szCs w:val="22"/>
        </w:rPr>
        <w:t xml:space="preserve">ealth </w:t>
      </w:r>
      <w:r>
        <w:rPr>
          <w:rFonts w:ascii="Arial" w:eastAsiaTheme="minorHAnsi" w:hAnsi="Arial" w:cstheme="minorBidi"/>
          <w:color w:val="000000" w:themeColor="text1"/>
          <w:szCs w:val="22"/>
        </w:rPr>
        <w:t>C</w:t>
      </w:r>
      <w:r w:rsidRPr="00D22FE6">
        <w:rPr>
          <w:rFonts w:ascii="Arial" w:eastAsiaTheme="minorHAnsi" w:hAnsi="Arial" w:cstheme="minorBidi"/>
          <w:color w:val="000000" w:themeColor="text1"/>
          <w:szCs w:val="22"/>
        </w:rPr>
        <w:t xml:space="preserve">are </w:t>
      </w:r>
      <w:r>
        <w:rPr>
          <w:rFonts w:ascii="Arial" w:eastAsiaTheme="minorHAnsi" w:hAnsi="Arial" w:cstheme="minorBidi"/>
          <w:color w:val="000000" w:themeColor="text1"/>
          <w:szCs w:val="22"/>
        </w:rPr>
        <w:t>C</w:t>
      </w:r>
      <w:r w:rsidRPr="00D22FE6">
        <w:rPr>
          <w:rFonts w:ascii="Arial" w:eastAsiaTheme="minorHAnsi" w:hAnsi="Arial" w:cstheme="minorBidi"/>
          <w:color w:val="000000" w:themeColor="text1"/>
          <w:szCs w:val="22"/>
        </w:rPr>
        <w:t>ompact</w:t>
      </w:r>
      <w:r w:rsidR="00DB625E">
        <w:rPr>
          <w:rFonts w:ascii="Arial" w:eastAsiaTheme="minorHAnsi" w:hAnsi="Arial" w:cstheme="minorBidi"/>
          <w:color w:val="000000" w:themeColor="text1"/>
          <w:szCs w:val="22"/>
        </w:rPr>
        <w:t xml:space="preserve"> and specifies the parameters of the entry by Texas into the Compact.</w:t>
      </w:r>
    </w:p>
    <w:p w:rsidR="00BD43BC" w:rsidRDefault="00BD43BC" w:rsidP="00D22FE6">
      <w:pPr>
        <w:suppressAutoHyphens/>
        <w:spacing w:line="240" w:lineRule="atLeast"/>
        <w:ind w:left="1440" w:firstLine="0"/>
        <w:rPr>
          <w:rFonts w:cs="Arial"/>
          <w:color w:val="000000"/>
          <w:szCs w:val="24"/>
        </w:rPr>
      </w:pPr>
    </w:p>
    <w:p w:rsidR="00BD43BC" w:rsidRDefault="00BD43BC" w:rsidP="00BD43BC">
      <w:pPr>
        <w:suppressAutoHyphens/>
        <w:spacing w:line="240" w:lineRule="atLeast"/>
        <w:ind w:left="1440" w:firstLine="0"/>
        <w:rPr>
          <w:rFonts w:cs="Arial"/>
          <w:color w:val="000000"/>
          <w:szCs w:val="24"/>
        </w:rPr>
      </w:pPr>
      <w:r>
        <w:rPr>
          <w:rFonts w:cs="Arial"/>
          <w:color w:val="000000"/>
          <w:szCs w:val="24"/>
        </w:rPr>
        <w:t xml:space="preserve">Effective </w:t>
      </w:r>
      <w:r w:rsidR="00F22F87">
        <w:rPr>
          <w:rFonts w:cs="Arial"/>
          <w:color w:val="000000"/>
          <w:szCs w:val="24"/>
        </w:rPr>
        <w:t>September 28, 2011.</w:t>
      </w:r>
    </w:p>
    <w:p w:rsidR="00BD43BC" w:rsidRDefault="00BD43BC" w:rsidP="00957EAD">
      <w:pPr>
        <w:suppressAutoHyphens/>
        <w:spacing w:line="240" w:lineRule="atLeast"/>
        <w:ind w:left="1440" w:firstLine="0"/>
        <w:rPr>
          <w:rFonts w:cs="Arial"/>
          <w:color w:val="000000"/>
          <w:szCs w:val="24"/>
        </w:rPr>
      </w:pPr>
    </w:p>
    <w:p w:rsidR="0087657D" w:rsidRDefault="008D58AD" w:rsidP="002A06AB">
      <w:pPr>
        <w:suppressAutoHyphens/>
        <w:spacing w:line="240" w:lineRule="atLeast"/>
        <w:ind w:left="1440" w:hanging="1440"/>
      </w:pPr>
      <w:hyperlink r:id="rId28" w:history="1">
        <w:r w:rsidR="0087657D" w:rsidRPr="0087657D">
          <w:rPr>
            <w:rStyle w:val="Hyperlink"/>
            <w:rFonts w:cs="Arial"/>
            <w:szCs w:val="24"/>
          </w:rPr>
          <w:t>SB0425</w:t>
        </w:r>
      </w:hyperlink>
      <w:r w:rsidR="0087657D">
        <w:rPr>
          <w:rFonts w:cs="Arial"/>
          <w:color w:val="000000"/>
          <w:szCs w:val="24"/>
        </w:rPr>
        <w:tab/>
      </w:r>
      <w:r w:rsidR="00D924B0" w:rsidRPr="00D924B0">
        <w:rPr>
          <w:rStyle w:val="Emphasis"/>
        </w:rPr>
        <w:t>P&amp;C</w:t>
      </w:r>
      <w:r w:rsidR="00D924B0" w:rsidRPr="00D924B0">
        <w:rPr>
          <w:rStyle w:val="Emphasis"/>
          <w:b w:val="0"/>
        </w:rPr>
        <w:t xml:space="preserve"> </w:t>
      </w:r>
      <w:r w:rsidR="00CB00FA">
        <w:rPr>
          <w:rStyle w:val="IntenseEmphasis"/>
        </w:rPr>
        <w:t>I</w:t>
      </w:r>
      <w:r w:rsidR="0087657D" w:rsidRPr="0087657D">
        <w:rPr>
          <w:rStyle w:val="IntenseEmphasis"/>
        </w:rPr>
        <w:t xml:space="preserve">nsurance </w:t>
      </w:r>
      <w:r w:rsidR="00CB00FA">
        <w:rPr>
          <w:rStyle w:val="IntenseEmphasis"/>
        </w:rPr>
        <w:t>C</w:t>
      </w:r>
      <w:r w:rsidR="00CD3462">
        <w:rPr>
          <w:rStyle w:val="IntenseEmphasis"/>
        </w:rPr>
        <w:t>ertificates</w:t>
      </w:r>
      <w:r w:rsidR="0087657D" w:rsidRPr="0087657D">
        <w:rPr>
          <w:rStyle w:val="IntenseEmphasis"/>
        </w:rPr>
        <w:t xml:space="preserve"> </w:t>
      </w:r>
      <w:r w:rsidR="00B85020">
        <w:rPr>
          <w:rStyle w:val="IntenseEmphasis"/>
        </w:rPr>
        <w:t>--</w:t>
      </w:r>
      <w:r w:rsidR="0087657D">
        <w:rPr>
          <w:rFonts w:cs="Arial"/>
          <w:color w:val="000000"/>
          <w:szCs w:val="24"/>
        </w:rPr>
        <w:t xml:space="preserve"> SB0425 </w:t>
      </w:r>
      <w:r w:rsidR="0087657D">
        <w:t xml:space="preserve">requires approval by TDI of </w:t>
      </w:r>
      <w:r w:rsidR="0087657D" w:rsidRPr="0029773A">
        <w:t>certificate of insurance forms</w:t>
      </w:r>
      <w:r w:rsidR="0087657D">
        <w:t xml:space="preserve"> that are provided as proof of property and casualty insurance coverage. The bill </w:t>
      </w:r>
      <w:r w:rsidR="0087657D" w:rsidRPr="0029773A">
        <w:t xml:space="preserve">prohibits </w:t>
      </w:r>
      <w:r w:rsidR="0087657D">
        <w:t xml:space="preserve">property and </w:t>
      </w:r>
      <w:r w:rsidR="0087657D" w:rsidRPr="0029773A">
        <w:t>casualty insurers and agents</w:t>
      </w:r>
      <w:r w:rsidR="0087657D">
        <w:t xml:space="preserve"> from</w:t>
      </w:r>
      <w:r w:rsidR="0087657D" w:rsidRPr="0029773A">
        <w:t xml:space="preserve"> issuing certificates of insurance or</w:t>
      </w:r>
      <w:r w:rsidR="0087657D">
        <w:t xml:space="preserve"> any</w:t>
      </w:r>
      <w:r w:rsidR="0087657D" w:rsidRPr="0029773A">
        <w:t xml:space="preserve"> other</w:t>
      </w:r>
      <w:r w:rsidR="0087657D">
        <w:t xml:space="preserve"> type of document</w:t>
      </w:r>
      <w:r w:rsidR="0087657D" w:rsidRPr="0029773A">
        <w:t xml:space="preserve"> </w:t>
      </w:r>
      <w:r w:rsidR="0087657D">
        <w:t xml:space="preserve">purporting to be a certificate of insurance </w:t>
      </w:r>
      <w:r w:rsidR="0087657D" w:rsidRPr="0029773A">
        <w:t xml:space="preserve">if the certificate or document alters, amends, or extends the coverage or terms and conditions provided by the insurance policy referenced </w:t>
      </w:r>
      <w:r w:rsidR="0087657D">
        <w:t>on the certificate or document. It allows TDI to</w:t>
      </w:r>
      <w:r w:rsidR="0087657D" w:rsidRPr="0029773A">
        <w:t xml:space="preserve"> collect a fee</w:t>
      </w:r>
      <w:r w:rsidR="0087657D">
        <w:t>, not to exceed</w:t>
      </w:r>
      <w:r w:rsidR="0087657D" w:rsidRPr="0029773A">
        <w:t xml:space="preserve"> $100</w:t>
      </w:r>
      <w:r w:rsidR="0087657D">
        <w:t>,</w:t>
      </w:r>
      <w:r w:rsidR="0087657D" w:rsidRPr="0029773A">
        <w:t xml:space="preserve"> for the filing of a new or amended certificate of insurance form.</w:t>
      </w:r>
      <w:r w:rsidR="0087657D">
        <w:t xml:space="preserve"> The bill further contains enforcement provisions that include civil penalties and injunctive relief for violation</w:t>
      </w:r>
      <w:r w:rsidR="00B9732F">
        <w:t>s</w:t>
      </w:r>
      <w:r w:rsidR="0087657D">
        <w:t xml:space="preserve"> of </w:t>
      </w:r>
      <w:r w:rsidR="005C4C46">
        <w:t xml:space="preserve">Texas </w:t>
      </w:r>
      <w:r w:rsidR="00957EAD">
        <w:t>Insurance Code Chapter 1811</w:t>
      </w:r>
      <w:r w:rsidR="0087657D">
        <w:t>.</w:t>
      </w:r>
    </w:p>
    <w:p w:rsidR="0087657D" w:rsidRDefault="0087657D" w:rsidP="00957EAD">
      <w:pPr>
        <w:suppressAutoHyphens/>
        <w:spacing w:line="240" w:lineRule="atLeast"/>
        <w:ind w:left="1440" w:firstLine="0"/>
      </w:pPr>
    </w:p>
    <w:p w:rsidR="0087657D" w:rsidRDefault="0087657D" w:rsidP="0087657D">
      <w:pPr>
        <w:suppressAutoHyphens/>
        <w:spacing w:line="240" w:lineRule="atLeast"/>
        <w:ind w:left="1440" w:firstLine="0"/>
      </w:pPr>
      <w:r>
        <w:t xml:space="preserve">Effective September 1, 2011; applies only to a </w:t>
      </w:r>
      <w:r w:rsidRPr="001879D4">
        <w:t>certificate of insurance issued on or after January 1, 2012.</w:t>
      </w:r>
    </w:p>
    <w:p w:rsidR="0087657D" w:rsidRDefault="0087657D" w:rsidP="00957EAD">
      <w:pPr>
        <w:suppressAutoHyphens/>
        <w:spacing w:line="240" w:lineRule="atLeast"/>
        <w:ind w:left="1440" w:firstLine="0"/>
        <w:rPr>
          <w:rFonts w:cs="Arial"/>
          <w:color w:val="000000"/>
          <w:szCs w:val="24"/>
        </w:rPr>
      </w:pPr>
    </w:p>
    <w:p w:rsidR="009D459C" w:rsidRDefault="008D58AD" w:rsidP="002A06AB">
      <w:pPr>
        <w:suppressAutoHyphens/>
        <w:spacing w:line="240" w:lineRule="atLeast"/>
        <w:ind w:left="1440" w:hanging="1440"/>
      </w:pPr>
      <w:hyperlink r:id="rId29" w:history="1">
        <w:r w:rsidR="009D459C" w:rsidRPr="00CE5BA1">
          <w:rPr>
            <w:rStyle w:val="Hyperlink"/>
            <w:rFonts w:cs="Arial"/>
            <w:szCs w:val="24"/>
          </w:rPr>
          <w:t>SB0554</w:t>
        </w:r>
      </w:hyperlink>
      <w:r w:rsidR="009D459C">
        <w:rPr>
          <w:rFonts w:cs="Arial"/>
          <w:color w:val="000000"/>
          <w:szCs w:val="24"/>
        </w:rPr>
        <w:tab/>
      </w:r>
      <w:r w:rsidR="00CD3462">
        <w:rPr>
          <w:rStyle w:val="IntenseEmphasis"/>
        </w:rPr>
        <w:t>C</w:t>
      </w:r>
      <w:r w:rsidR="00684017">
        <w:rPr>
          <w:rStyle w:val="IntenseEmphasis"/>
        </w:rPr>
        <w:t>ontracts</w:t>
      </w:r>
      <w:r w:rsidR="009D459C" w:rsidRPr="009D459C">
        <w:rPr>
          <w:rStyle w:val="IntenseEmphasis"/>
        </w:rPr>
        <w:t xml:space="preserve"> </w:t>
      </w:r>
      <w:r w:rsidR="006A4BEA">
        <w:rPr>
          <w:rStyle w:val="IntenseEmphasis"/>
        </w:rPr>
        <w:t>w</w:t>
      </w:r>
      <w:r w:rsidR="00C62E4B">
        <w:rPr>
          <w:rStyle w:val="IntenseEmphasis"/>
        </w:rPr>
        <w:t xml:space="preserve">ith </w:t>
      </w:r>
      <w:r w:rsidR="00CB00FA">
        <w:rPr>
          <w:rStyle w:val="IntenseEmphasis"/>
        </w:rPr>
        <w:t>D</w:t>
      </w:r>
      <w:r w:rsidR="00C62E4B">
        <w:rPr>
          <w:rStyle w:val="IntenseEmphasis"/>
        </w:rPr>
        <w:t xml:space="preserve">entists </w:t>
      </w:r>
      <w:r w:rsidR="00B85020">
        <w:rPr>
          <w:rStyle w:val="IntenseEmphasis"/>
        </w:rPr>
        <w:t>--</w:t>
      </w:r>
      <w:r w:rsidR="009D459C">
        <w:rPr>
          <w:rFonts w:cs="Arial"/>
          <w:color w:val="000000"/>
          <w:szCs w:val="24"/>
        </w:rPr>
        <w:t xml:space="preserve"> </w:t>
      </w:r>
      <w:r w:rsidR="009D459C" w:rsidRPr="009D459C">
        <w:t xml:space="preserve">SB0554 </w:t>
      </w:r>
      <w:r w:rsidR="00B838CF">
        <w:t xml:space="preserve">provides that </w:t>
      </w:r>
      <w:r w:rsidR="00B838CF" w:rsidRPr="00FE6E64">
        <w:t>a contract between</w:t>
      </w:r>
      <w:r w:rsidR="00B838CF">
        <w:t xml:space="preserve"> a dentist and</w:t>
      </w:r>
      <w:r w:rsidR="00B838CF" w:rsidRPr="00FE6E64">
        <w:t xml:space="preserve"> an insurer</w:t>
      </w:r>
      <w:r w:rsidR="00B838CF">
        <w:t xml:space="preserve"> or HMO</w:t>
      </w:r>
      <w:r w:rsidR="00B838CF" w:rsidRPr="00FE6E64">
        <w:t xml:space="preserve"> may not limit the fee the dentist may charge for a service that is not a covered service</w:t>
      </w:r>
      <w:r w:rsidR="00B838CF">
        <w:t xml:space="preserve">. Covered services are defined as those </w:t>
      </w:r>
      <w:r w:rsidR="00B838CF" w:rsidRPr="00FE6E64">
        <w:t>dental care service</w:t>
      </w:r>
      <w:r w:rsidR="00B838CF">
        <w:t>s</w:t>
      </w:r>
      <w:r w:rsidR="00B838CF" w:rsidRPr="00FE6E64">
        <w:t xml:space="preserve"> for which reimbursement is available</w:t>
      </w:r>
      <w:r w:rsidR="00B838CF">
        <w:t xml:space="preserve"> under</w:t>
      </w:r>
      <w:r w:rsidR="00B838CF" w:rsidRPr="00FE6E64">
        <w:t xml:space="preserve"> </w:t>
      </w:r>
      <w:r w:rsidR="00B838CF">
        <w:t>the policy or plan</w:t>
      </w:r>
      <w:r w:rsidR="00B838CF" w:rsidRPr="00FE6E64">
        <w:t xml:space="preserve"> or for which reimbursement is available subject to a contractual </w:t>
      </w:r>
      <w:r w:rsidR="00B838CF">
        <w:t>limitation, such as a co-payment or deductible.</w:t>
      </w:r>
    </w:p>
    <w:p w:rsidR="009D459C" w:rsidRDefault="009D459C" w:rsidP="009D459C">
      <w:pPr>
        <w:suppressAutoHyphens/>
        <w:spacing w:line="240" w:lineRule="atLeast"/>
        <w:ind w:left="1440" w:firstLine="0"/>
        <w:rPr>
          <w:rFonts w:cs="Arial"/>
          <w:color w:val="000000"/>
          <w:szCs w:val="24"/>
        </w:rPr>
      </w:pPr>
    </w:p>
    <w:p w:rsidR="002A06AB" w:rsidRDefault="009D459C" w:rsidP="009D459C">
      <w:pPr>
        <w:suppressAutoHyphens/>
        <w:spacing w:line="240" w:lineRule="atLeast"/>
        <w:ind w:left="1440" w:firstLine="0"/>
      </w:pPr>
      <w:r>
        <w:rPr>
          <w:rFonts w:cs="Arial"/>
          <w:color w:val="000000"/>
          <w:szCs w:val="24"/>
        </w:rPr>
        <w:t xml:space="preserve">Effective </w:t>
      </w:r>
      <w:r>
        <w:t>September 1, 2011;</w:t>
      </w:r>
      <w:r w:rsidRPr="009D459C">
        <w:t xml:space="preserve"> only appl</w:t>
      </w:r>
      <w:r>
        <w:t>ies</w:t>
      </w:r>
      <w:r w:rsidRPr="009D459C">
        <w:t xml:space="preserve"> to contracts entered into or renewed on or </w:t>
      </w:r>
      <w:r w:rsidR="00F857E2">
        <w:t xml:space="preserve">after </w:t>
      </w:r>
      <w:r>
        <w:t>September 1, 2011</w:t>
      </w:r>
      <w:r w:rsidRPr="009D459C">
        <w:t>.</w:t>
      </w:r>
    </w:p>
    <w:p w:rsidR="008A54C5" w:rsidRDefault="008A54C5" w:rsidP="009D459C">
      <w:pPr>
        <w:suppressAutoHyphens/>
        <w:spacing w:line="240" w:lineRule="atLeast"/>
        <w:ind w:left="1440" w:firstLine="0"/>
      </w:pPr>
    </w:p>
    <w:p w:rsidR="00B838CF" w:rsidRDefault="008D58AD" w:rsidP="00B838CF">
      <w:pPr>
        <w:ind w:left="1440" w:hanging="1440"/>
      </w:pPr>
      <w:hyperlink r:id="rId30" w:history="1">
        <w:r w:rsidR="00B838CF" w:rsidRPr="00B838CF">
          <w:rPr>
            <w:rStyle w:val="Hyperlink"/>
          </w:rPr>
          <w:t>SB0567</w:t>
        </w:r>
      </w:hyperlink>
      <w:r w:rsidR="00B838CF">
        <w:rPr>
          <w:b/>
        </w:rPr>
        <w:tab/>
      </w:r>
      <w:r w:rsidR="00B838CF" w:rsidRPr="00B838CF">
        <w:rPr>
          <w:rStyle w:val="IntenseEmphasis"/>
        </w:rPr>
        <w:t xml:space="preserve">Texas Life </w:t>
      </w:r>
      <w:r w:rsidR="006A4BEA">
        <w:rPr>
          <w:rStyle w:val="IntenseEmphasis"/>
        </w:rPr>
        <w:t>a</w:t>
      </w:r>
      <w:r w:rsidR="00B838CF" w:rsidRPr="00B838CF">
        <w:rPr>
          <w:rStyle w:val="IntenseEmphasis"/>
        </w:rPr>
        <w:t xml:space="preserve">nd Health Insurance Guaranty Association </w:t>
      </w:r>
      <w:r w:rsidR="00B85020">
        <w:rPr>
          <w:rStyle w:val="IntenseEmphasis"/>
        </w:rPr>
        <w:t>--</w:t>
      </w:r>
      <w:r w:rsidR="00B838CF">
        <w:rPr>
          <w:b/>
        </w:rPr>
        <w:t xml:space="preserve"> </w:t>
      </w:r>
      <w:r w:rsidR="00957EAD">
        <w:t>SB0</w:t>
      </w:r>
      <w:r w:rsidR="00957EAD" w:rsidRPr="001D401B">
        <w:t>567</w:t>
      </w:r>
      <w:r w:rsidR="00957EAD">
        <w:t xml:space="preserve"> </w:t>
      </w:r>
      <w:r w:rsidR="00957EAD" w:rsidRPr="001D401B">
        <w:t xml:space="preserve">changes </w:t>
      </w:r>
      <w:r w:rsidR="00957EAD">
        <w:t>the</w:t>
      </w:r>
      <w:r w:rsidR="00957EAD" w:rsidRPr="001D401B">
        <w:t xml:space="preserve"> name</w:t>
      </w:r>
      <w:r w:rsidR="00957EAD">
        <w:t xml:space="preserve"> of the Texas Life, Accident, Health, and Hospital Service Insurance Guaranty Association</w:t>
      </w:r>
      <w:r w:rsidR="00957EAD" w:rsidRPr="001D401B">
        <w:t xml:space="preserve"> to the Texas Life and Health Insurance Guaranty Association to more accurately reflect </w:t>
      </w:r>
      <w:r w:rsidR="00957EAD">
        <w:t>the association’s</w:t>
      </w:r>
      <w:r w:rsidR="00957EAD" w:rsidRPr="001D401B">
        <w:t xml:space="preserve"> purpose. </w:t>
      </w:r>
      <w:r w:rsidR="00957EAD">
        <w:t xml:space="preserve">The bill </w:t>
      </w:r>
      <w:r w:rsidR="00957EAD" w:rsidRPr="001D401B">
        <w:t xml:space="preserve">amends current law relating to </w:t>
      </w:r>
      <w:r w:rsidR="00957EAD">
        <w:t xml:space="preserve">the operation of the association and </w:t>
      </w:r>
      <w:r w:rsidR="00957EAD" w:rsidRPr="001D401B">
        <w:t xml:space="preserve">certain amounts payable by </w:t>
      </w:r>
      <w:r w:rsidR="00957EAD">
        <w:t>it</w:t>
      </w:r>
      <w:r w:rsidR="00957EAD" w:rsidRPr="001D401B">
        <w:t xml:space="preserve">. </w:t>
      </w:r>
      <w:r w:rsidR="00957EAD">
        <w:t>It</w:t>
      </w:r>
      <w:r w:rsidR="00957EAD" w:rsidRPr="001D401B">
        <w:t xml:space="preserve"> increases the limit</w:t>
      </w:r>
      <w:r w:rsidR="00957EAD">
        <w:t xml:space="preserve"> of excluded contractual obligations </w:t>
      </w:r>
      <w:r w:rsidR="00957EAD" w:rsidRPr="001D401B">
        <w:t xml:space="preserve">from </w:t>
      </w:r>
      <w:r w:rsidR="00957EAD">
        <w:t xml:space="preserve">amounts in excess of </w:t>
      </w:r>
      <w:r w:rsidR="00957EAD" w:rsidRPr="001D401B">
        <w:t xml:space="preserve">$100,000 to </w:t>
      </w:r>
      <w:r w:rsidR="00957EAD">
        <w:t xml:space="preserve">amounts in excess of </w:t>
      </w:r>
      <w:r w:rsidR="00957EAD" w:rsidRPr="001D401B">
        <w:t>$250,000</w:t>
      </w:r>
      <w:r w:rsidR="00957EAD">
        <w:t xml:space="preserve"> for certain annuity contracts.</w:t>
      </w:r>
    </w:p>
    <w:p w:rsidR="00B838CF" w:rsidRDefault="00B838CF" w:rsidP="00B838CF"/>
    <w:p w:rsidR="00B838CF" w:rsidRDefault="00B838CF" w:rsidP="00B838CF">
      <w:r>
        <w:t>Effective September 1, 2011.</w:t>
      </w:r>
    </w:p>
    <w:p w:rsidR="00B838CF" w:rsidRDefault="00B838CF" w:rsidP="00B838CF">
      <w:pPr>
        <w:jc w:val="both"/>
      </w:pPr>
    </w:p>
    <w:p w:rsidR="00BF6A66" w:rsidRDefault="008D58AD" w:rsidP="00BF6A66">
      <w:pPr>
        <w:ind w:left="1440" w:hanging="1440"/>
      </w:pPr>
      <w:hyperlink r:id="rId31" w:history="1">
        <w:r w:rsidR="00B838CF" w:rsidRPr="00F26056">
          <w:rPr>
            <w:rStyle w:val="Hyperlink"/>
          </w:rPr>
          <w:t>SB0579</w:t>
        </w:r>
      </w:hyperlink>
      <w:r w:rsidR="00B838CF">
        <w:rPr>
          <w:b/>
        </w:rPr>
        <w:tab/>
      </w:r>
      <w:r w:rsidR="00B838CF" w:rsidRPr="00BF6A66">
        <w:rPr>
          <w:rStyle w:val="IntenseEmphasis"/>
        </w:rPr>
        <w:t xml:space="preserve">Prepaid </w:t>
      </w:r>
      <w:r w:rsidR="00CB00FA">
        <w:rPr>
          <w:rStyle w:val="IntenseEmphasis"/>
        </w:rPr>
        <w:t>F</w:t>
      </w:r>
      <w:r w:rsidR="00B838CF" w:rsidRPr="00BF6A66">
        <w:rPr>
          <w:rStyle w:val="IntenseEmphasis"/>
        </w:rPr>
        <w:t xml:space="preserve">uneral </w:t>
      </w:r>
      <w:r w:rsidR="00CB00FA">
        <w:rPr>
          <w:rStyle w:val="IntenseEmphasis"/>
        </w:rPr>
        <w:t>B</w:t>
      </w:r>
      <w:r w:rsidR="00B838CF" w:rsidRPr="00BF6A66">
        <w:rPr>
          <w:rStyle w:val="IntenseEmphasis"/>
        </w:rPr>
        <w:t>enefit</w:t>
      </w:r>
      <w:r w:rsidR="00BF6A66" w:rsidRPr="00BF6A66">
        <w:rPr>
          <w:rStyle w:val="IntenseEmphasis"/>
        </w:rPr>
        <w:t xml:space="preserve"> </w:t>
      </w:r>
      <w:r w:rsidR="00CB00FA">
        <w:rPr>
          <w:rStyle w:val="IntenseEmphasis"/>
        </w:rPr>
        <w:t>A</w:t>
      </w:r>
      <w:r w:rsidR="00BF6A66">
        <w:rPr>
          <w:rStyle w:val="IntenseEmphasis"/>
        </w:rPr>
        <w:t xml:space="preserve">gent </w:t>
      </w:r>
      <w:r w:rsidR="00CB00FA">
        <w:rPr>
          <w:rStyle w:val="IntenseEmphasis"/>
        </w:rPr>
        <w:t>A</w:t>
      </w:r>
      <w:r w:rsidR="00BF6A66" w:rsidRPr="00BF6A66">
        <w:rPr>
          <w:rStyle w:val="IntenseEmphasis"/>
        </w:rPr>
        <w:t>uthority</w:t>
      </w:r>
      <w:r w:rsidR="00B838CF" w:rsidRPr="00BF6A66">
        <w:rPr>
          <w:rStyle w:val="IntenseEmphasis"/>
        </w:rPr>
        <w:t xml:space="preserve"> </w:t>
      </w:r>
      <w:r w:rsidR="00CB00FA">
        <w:rPr>
          <w:rStyle w:val="IntenseEmphasis"/>
        </w:rPr>
        <w:t>–</w:t>
      </w:r>
      <w:r w:rsidR="00BF6A66">
        <w:rPr>
          <w:b/>
        </w:rPr>
        <w:t xml:space="preserve"> </w:t>
      </w:r>
      <w:r w:rsidR="00B838CF">
        <w:t>SB</w:t>
      </w:r>
      <w:r w:rsidR="00CB00FA">
        <w:t>0</w:t>
      </w:r>
      <w:r w:rsidR="00B838CF">
        <w:t xml:space="preserve">579 </w:t>
      </w:r>
      <w:r w:rsidR="00906E48">
        <w:t>changes</w:t>
      </w:r>
      <w:r w:rsidR="00BF6A66">
        <w:t xml:space="preserve"> </w:t>
      </w:r>
      <w:r w:rsidR="00906E48">
        <w:t xml:space="preserve">the </w:t>
      </w:r>
      <w:r w:rsidR="00C62E4B">
        <w:t xml:space="preserve">authority of a </w:t>
      </w:r>
      <w:r w:rsidR="00906E48">
        <w:t>prearrangement life insurance agent</w:t>
      </w:r>
      <w:r w:rsidR="00B9732F">
        <w:t xml:space="preserve"> to write coverage or a combination of </w:t>
      </w:r>
      <w:proofErr w:type="spellStart"/>
      <w:r w:rsidR="00B9732F">
        <w:t>coverages</w:t>
      </w:r>
      <w:proofErr w:type="spellEnd"/>
      <w:r w:rsidR="00B9732F">
        <w:t xml:space="preserve"> with an initial guaranteed death benefit</w:t>
      </w:r>
      <w:r w:rsidR="00C62E4B">
        <w:t xml:space="preserve"> from </w:t>
      </w:r>
      <w:r w:rsidR="009136D7">
        <w:t xml:space="preserve">a </w:t>
      </w:r>
      <w:r w:rsidR="00BF6A66">
        <w:t>$15,000</w:t>
      </w:r>
      <w:r w:rsidR="009136D7">
        <w:t xml:space="preserve"> limit</w:t>
      </w:r>
      <w:r w:rsidR="00BF6A66">
        <w:t xml:space="preserve"> on any life </w:t>
      </w:r>
      <w:r w:rsidR="00F26056">
        <w:t>to</w:t>
      </w:r>
      <w:r w:rsidR="00906E48">
        <w:t xml:space="preserve"> </w:t>
      </w:r>
      <w:r w:rsidR="009136D7">
        <w:t xml:space="preserve">a limit that does not exceed </w:t>
      </w:r>
      <w:r w:rsidR="00906E48">
        <w:t xml:space="preserve">the total cost of the prepaid funeral benefits purchased under </w:t>
      </w:r>
      <w:r w:rsidR="00BF6A66">
        <w:t>the prepaid funeral contract.</w:t>
      </w:r>
    </w:p>
    <w:p w:rsidR="00BF6A66" w:rsidRDefault="00BF6A66" w:rsidP="00BF6A66">
      <w:pPr>
        <w:ind w:left="1440" w:firstLine="0"/>
      </w:pPr>
    </w:p>
    <w:p w:rsidR="00B838CF" w:rsidRDefault="00BF6A66" w:rsidP="00BF6A66">
      <w:pPr>
        <w:ind w:left="1440" w:firstLine="0"/>
      </w:pPr>
      <w:r>
        <w:t xml:space="preserve">Effective September 1, 2011; </w:t>
      </w:r>
      <w:r w:rsidR="00B838CF" w:rsidRPr="004E21EC">
        <w:t>applies to a prepaid funeral contract that is formed on or after the effective date of this Act.</w:t>
      </w:r>
    </w:p>
    <w:p w:rsidR="00F26056" w:rsidRDefault="00F26056" w:rsidP="00BF6A66">
      <w:pPr>
        <w:ind w:left="1440" w:firstLine="0"/>
      </w:pPr>
    </w:p>
    <w:p w:rsidR="002A06AB" w:rsidRPr="00684017" w:rsidRDefault="008D58AD" w:rsidP="00684017">
      <w:pPr>
        <w:ind w:left="1440" w:hanging="1440"/>
        <w:rPr>
          <w:rStyle w:val="IntenseEmphasis"/>
        </w:rPr>
      </w:pPr>
      <w:hyperlink r:id="rId32" w:history="1">
        <w:r w:rsidR="00F22F87" w:rsidRPr="00343E4D">
          <w:rPr>
            <w:rStyle w:val="Hyperlink"/>
            <w:rFonts w:cs="Arial"/>
            <w:szCs w:val="24"/>
          </w:rPr>
          <w:t>SB0822</w:t>
        </w:r>
      </w:hyperlink>
      <w:r w:rsidR="00684017">
        <w:rPr>
          <w:rFonts w:cs="Arial"/>
          <w:color w:val="000000"/>
          <w:szCs w:val="24"/>
        </w:rPr>
        <w:tab/>
      </w:r>
      <w:r w:rsidR="00684017">
        <w:rPr>
          <w:rStyle w:val="IntenseEmphasis"/>
        </w:rPr>
        <w:t xml:space="preserve">Expedited </w:t>
      </w:r>
      <w:r w:rsidR="00343E4D">
        <w:rPr>
          <w:rStyle w:val="IntenseEmphasis"/>
        </w:rPr>
        <w:t>C</w:t>
      </w:r>
      <w:r w:rsidR="00684017">
        <w:rPr>
          <w:rStyle w:val="IntenseEmphasis"/>
        </w:rPr>
        <w:t xml:space="preserve">redentialing </w:t>
      </w:r>
      <w:r w:rsidR="006A4BEA">
        <w:rPr>
          <w:rStyle w:val="IntenseEmphasis"/>
        </w:rPr>
        <w:t>o</w:t>
      </w:r>
      <w:r w:rsidR="00684017">
        <w:rPr>
          <w:rStyle w:val="IntenseEmphasis"/>
        </w:rPr>
        <w:t xml:space="preserve">f </w:t>
      </w:r>
      <w:r w:rsidR="00343E4D">
        <w:rPr>
          <w:rStyle w:val="IntenseEmphasis"/>
        </w:rPr>
        <w:t>M</w:t>
      </w:r>
      <w:r w:rsidR="00CD3462">
        <w:rPr>
          <w:rStyle w:val="IntenseEmphasis"/>
        </w:rPr>
        <w:t xml:space="preserve">edical </w:t>
      </w:r>
      <w:r w:rsidR="00343E4D">
        <w:rPr>
          <w:rStyle w:val="IntenseEmphasis"/>
        </w:rPr>
        <w:t>S</w:t>
      </w:r>
      <w:r w:rsidR="00CD3462">
        <w:rPr>
          <w:rStyle w:val="IntenseEmphasis"/>
        </w:rPr>
        <w:t xml:space="preserve">chool </w:t>
      </w:r>
      <w:r w:rsidR="00343E4D">
        <w:rPr>
          <w:rStyle w:val="IntenseEmphasis"/>
        </w:rPr>
        <w:t>P</w:t>
      </w:r>
      <w:r w:rsidR="00CD3462">
        <w:rPr>
          <w:rStyle w:val="IntenseEmphasis"/>
        </w:rPr>
        <w:t>hysic</w:t>
      </w:r>
      <w:r w:rsidR="00BB18DD">
        <w:rPr>
          <w:rStyle w:val="IntenseEmphasis"/>
        </w:rPr>
        <w:t>i</w:t>
      </w:r>
      <w:r w:rsidR="00CD3462">
        <w:rPr>
          <w:rStyle w:val="IntenseEmphasis"/>
        </w:rPr>
        <w:t>ans</w:t>
      </w:r>
      <w:r w:rsidR="00684017">
        <w:rPr>
          <w:rStyle w:val="IntenseEmphasis"/>
        </w:rPr>
        <w:t xml:space="preserve"> -- </w:t>
      </w:r>
      <w:r w:rsidR="00684017" w:rsidRPr="00684017">
        <w:t xml:space="preserve">SB0822 expands the definition of “medical group” </w:t>
      </w:r>
      <w:r w:rsidR="00957EAD">
        <w:t xml:space="preserve">in </w:t>
      </w:r>
      <w:r w:rsidR="00251297">
        <w:t xml:space="preserve">Texas Insurance Code </w:t>
      </w:r>
      <w:r w:rsidR="00957EAD">
        <w:t xml:space="preserve">Section 1452.101 </w:t>
      </w:r>
      <w:r w:rsidR="00684017" w:rsidRPr="00684017">
        <w:t>to include two or more physicians on the medical staff of, or teaching at, a medical school or medical and dental unit, as defined or described by Education Code Sections 61.003, 61.501, or 74.601.</w:t>
      </w:r>
    </w:p>
    <w:p w:rsidR="00684017" w:rsidRDefault="00684017" w:rsidP="00957EAD">
      <w:pPr>
        <w:suppressAutoHyphens/>
        <w:spacing w:line="240" w:lineRule="atLeast"/>
        <w:ind w:left="1440" w:firstLine="0"/>
        <w:rPr>
          <w:rFonts w:cs="Arial"/>
          <w:color w:val="000000"/>
          <w:szCs w:val="24"/>
        </w:rPr>
      </w:pPr>
    </w:p>
    <w:p w:rsidR="00684017" w:rsidRDefault="00684017" w:rsidP="00684017">
      <w:pPr>
        <w:suppressAutoHyphens/>
        <w:spacing w:line="240" w:lineRule="atLeast"/>
        <w:ind w:left="1440" w:firstLine="0"/>
        <w:rPr>
          <w:rFonts w:cs="Arial"/>
          <w:color w:val="000000"/>
          <w:szCs w:val="24"/>
        </w:rPr>
      </w:pPr>
      <w:r>
        <w:rPr>
          <w:rFonts w:cs="Arial"/>
          <w:color w:val="000000"/>
          <w:szCs w:val="24"/>
        </w:rPr>
        <w:t>Effective September 1, 2011.</w:t>
      </w:r>
    </w:p>
    <w:p w:rsidR="00F22F87" w:rsidRDefault="00F22F87" w:rsidP="00957EAD">
      <w:pPr>
        <w:suppressAutoHyphens/>
        <w:spacing w:line="240" w:lineRule="atLeast"/>
        <w:ind w:left="1440" w:firstLine="0"/>
        <w:rPr>
          <w:rFonts w:cs="Arial"/>
          <w:color w:val="000000"/>
          <w:szCs w:val="24"/>
        </w:rPr>
      </w:pPr>
    </w:p>
    <w:p w:rsidR="00533BCA" w:rsidRDefault="008D58AD" w:rsidP="00533BCA">
      <w:pPr>
        <w:ind w:left="1440" w:hanging="1440"/>
      </w:pPr>
      <w:hyperlink r:id="rId33" w:history="1">
        <w:r w:rsidR="00F22F87" w:rsidRPr="00CE5BA1">
          <w:rPr>
            <w:rStyle w:val="Hyperlink"/>
            <w:rFonts w:cs="Arial"/>
            <w:szCs w:val="24"/>
          </w:rPr>
          <w:t>SB0859</w:t>
        </w:r>
      </w:hyperlink>
      <w:r w:rsidR="00CE5BA1">
        <w:rPr>
          <w:rFonts w:cs="Arial"/>
          <w:color w:val="000000"/>
          <w:szCs w:val="24"/>
        </w:rPr>
        <w:tab/>
      </w:r>
      <w:r w:rsidR="00533BCA" w:rsidRPr="00533BCA">
        <w:rPr>
          <w:rStyle w:val="IntenseEmphasis"/>
        </w:rPr>
        <w:t xml:space="preserve">Health </w:t>
      </w:r>
      <w:r w:rsidR="00343E4D">
        <w:rPr>
          <w:rStyle w:val="IntenseEmphasis"/>
        </w:rPr>
        <w:t>G</w:t>
      </w:r>
      <w:r w:rsidR="00533BCA" w:rsidRPr="00533BCA">
        <w:rPr>
          <w:rStyle w:val="IntenseEmphasis"/>
        </w:rPr>
        <w:t xml:space="preserve">roup </w:t>
      </w:r>
      <w:r w:rsidR="00343E4D">
        <w:rPr>
          <w:rStyle w:val="IntenseEmphasis"/>
        </w:rPr>
        <w:t>C</w:t>
      </w:r>
      <w:r w:rsidR="00533BCA" w:rsidRPr="00533BCA">
        <w:rPr>
          <w:rStyle w:val="IntenseEmphasis"/>
        </w:rPr>
        <w:t xml:space="preserve">ooperatives </w:t>
      </w:r>
      <w:r w:rsidR="00533BCA">
        <w:rPr>
          <w:rStyle w:val="IntenseEmphasis"/>
        </w:rPr>
        <w:t>--</w:t>
      </w:r>
      <w:r w:rsidR="00533BCA">
        <w:rPr>
          <w:rFonts w:cs="Arial"/>
          <w:color w:val="000000"/>
          <w:szCs w:val="24"/>
        </w:rPr>
        <w:t xml:space="preserve"> </w:t>
      </w:r>
      <w:r w:rsidR="00957EAD">
        <w:rPr>
          <w:rFonts w:cs="Arial"/>
          <w:color w:val="000000"/>
          <w:szCs w:val="24"/>
        </w:rPr>
        <w:t xml:space="preserve">SB0859 </w:t>
      </w:r>
      <w:r w:rsidR="00957EAD">
        <w:t xml:space="preserve">defines “eligible single-employee business” and provides that cooperatives and insurers may permit such businesses to join a cooperative. The bill also sets forth provisions for the separate elections concerning participation </w:t>
      </w:r>
      <w:r w:rsidR="00957EAD" w:rsidRPr="00957EAD">
        <w:rPr>
          <w:rFonts w:eastAsia="Calibri" w:cs="Times New Roman"/>
          <w:color w:val="auto"/>
        </w:rPr>
        <w:t>by single employee businesses in cooperatives,</w:t>
      </w:r>
      <w:r w:rsidR="00957EAD">
        <w:rPr>
          <w:rFonts w:eastAsia="Calibri" w:cs="Times New Roman"/>
          <w:color w:val="000000"/>
        </w:rPr>
        <w:t xml:space="preserve"> </w:t>
      </w:r>
      <w:r w:rsidR="00957EAD">
        <w:t xml:space="preserve">and rating. </w:t>
      </w:r>
      <w:r w:rsidR="00957EAD" w:rsidRPr="00957EAD">
        <w:rPr>
          <w:rFonts w:eastAsia="Calibri" w:cs="Times New Roman"/>
          <w:color w:val="auto"/>
        </w:rPr>
        <w:t>The rating election permits insurers to treat participating employers in the cooperative separately for rating purposes</w:t>
      </w:r>
      <w:r w:rsidR="00957EAD" w:rsidRPr="00D3117F">
        <w:rPr>
          <w:rFonts w:eastAsia="Calibri" w:cs="Times New Roman"/>
          <w:color w:val="000000"/>
        </w:rPr>
        <w:t xml:space="preserve">. </w:t>
      </w:r>
      <w:r w:rsidR="00957EAD">
        <w:t xml:space="preserve">The bill requires the commissioner to adopt </w:t>
      </w:r>
      <w:r w:rsidR="00957EAD" w:rsidRPr="00517417">
        <w:t xml:space="preserve">rules governing the eligibility of a single-employee business to participate in a health group cooperative </w:t>
      </w:r>
      <w:r w:rsidR="00957EAD">
        <w:t>that</w:t>
      </w:r>
      <w:r w:rsidR="00957EAD" w:rsidRPr="00517417">
        <w:t xml:space="preserve"> must include provisions to ensure that each eligible single-employee business has a business purpose and was not formed solely to obtain </w:t>
      </w:r>
      <w:r w:rsidR="00957EAD" w:rsidRPr="00957EAD">
        <w:rPr>
          <w:rFonts w:eastAsia="Calibri" w:cs="Times New Roman"/>
          <w:color w:val="auto"/>
        </w:rPr>
        <w:t>employer-based</w:t>
      </w:r>
      <w:r w:rsidR="00957EAD" w:rsidRPr="00D3117F">
        <w:rPr>
          <w:rFonts w:eastAsia="Calibri" w:cs="Times New Roman"/>
          <w:color w:val="000000"/>
        </w:rPr>
        <w:t xml:space="preserve"> </w:t>
      </w:r>
      <w:r w:rsidR="00957EAD" w:rsidRPr="00517417">
        <w:t xml:space="preserve">health benefit plan </w:t>
      </w:r>
      <w:r w:rsidR="00957EAD">
        <w:t>coverage. The bill also permits employee choice among cooperative plans to be limited.</w:t>
      </w:r>
    </w:p>
    <w:p w:rsidR="00533BCA" w:rsidRDefault="00533BCA" w:rsidP="00957EAD">
      <w:pPr>
        <w:ind w:left="1440" w:firstLine="0"/>
      </w:pPr>
    </w:p>
    <w:p w:rsidR="00533BCA" w:rsidRDefault="00533BCA" w:rsidP="00533BCA">
      <w:pPr>
        <w:ind w:left="1440" w:firstLine="0"/>
      </w:pPr>
      <w:r w:rsidRPr="00533BCA">
        <w:rPr>
          <w:rStyle w:val="IntenseEmphasis"/>
        </w:rPr>
        <w:t xml:space="preserve">Employer </w:t>
      </w:r>
      <w:r w:rsidR="00343E4D">
        <w:rPr>
          <w:rStyle w:val="IntenseEmphasis"/>
        </w:rPr>
        <w:t>C</w:t>
      </w:r>
      <w:r w:rsidRPr="00533BCA">
        <w:rPr>
          <w:rStyle w:val="IntenseEmphasis"/>
        </w:rPr>
        <w:t xml:space="preserve">ontributions </w:t>
      </w:r>
      <w:r w:rsidR="006A4BEA">
        <w:rPr>
          <w:rStyle w:val="IntenseEmphasis"/>
        </w:rPr>
        <w:t>f</w:t>
      </w:r>
      <w:r w:rsidRPr="00533BCA">
        <w:rPr>
          <w:rStyle w:val="IntenseEmphasis"/>
        </w:rPr>
        <w:t xml:space="preserve">or </w:t>
      </w:r>
      <w:r w:rsidR="00343E4D">
        <w:rPr>
          <w:rStyle w:val="IntenseEmphasis"/>
        </w:rPr>
        <w:t>I</w:t>
      </w:r>
      <w:r w:rsidRPr="00533BCA">
        <w:rPr>
          <w:rStyle w:val="IntenseEmphasis"/>
        </w:rPr>
        <w:t xml:space="preserve">ndividual </w:t>
      </w:r>
      <w:r w:rsidR="00343E4D">
        <w:rPr>
          <w:rStyle w:val="IntenseEmphasis"/>
        </w:rPr>
        <w:t>C</w:t>
      </w:r>
      <w:r w:rsidRPr="00533BCA">
        <w:rPr>
          <w:rStyle w:val="IntenseEmphasis"/>
        </w:rPr>
        <w:t>onsumer</w:t>
      </w:r>
      <w:r w:rsidR="00744154">
        <w:rPr>
          <w:rStyle w:val="IntenseEmphasis"/>
        </w:rPr>
        <w:t>-</w:t>
      </w:r>
      <w:r w:rsidR="00343E4D">
        <w:rPr>
          <w:rStyle w:val="IntenseEmphasis"/>
        </w:rPr>
        <w:t>D</w:t>
      </w:r>
      <w:r w:rsidRPr="00533BCA">
        <w:rPr>
          <w:rStyle w:val="IntenseEmphasis"/>
        </w:rPr>
        <w:t xml:space="preserve">irected </w:t>
      </w:r>
      <w:r w:rsidR="00343E4D">
        <w:rPr>
          <w:rStyle w:val="IntenseEmphasis"/>
        </w:rPr>
        <w:t>H</w:t>
      </w:r>
      <w:r w:rsidRPr="00533BCA">
        <w:rPr>
          <w:rStyle w:val="IntenseEmphasis"/>
        </w:rPr>
        <w:t xml:space="preserve">ealth </w:t>
      </w:r>
      <w:r w:rsidR="00343E4D">
        <w:rPr>
          <w:rStyle w:val="IntenseEmphasis"/>
        </w:rPr>
        <w:t>P</w:t>
      </w:r>
      <w:r w:rsidRPr="00533BCA">
        <w:rPr>
          <w:rStyle w:val="IntenseEmphasis"/>
        </w:rPr>
        <w:t xml:space="preserve">lans </w:t>
      </w:r>
      <w:r w:rsidR="00B85020">
        <w:rPr>
          <w:rStyle w:val="IntenseEmphasis"/>
        </w:rPr>
        <w:t>--</w:t>
      </w:r>
      <w:r>
        <w:t xml:space="preserve"> </w:t>
      </w:r>
      <w:r w:rsidR="00957EAD">
        <w:t>SB0859 authorizes t</w:t>
      </w:r>
      <w:r w:rsidR="00957EAD" w:rsidRPr="00517417">
        <w:t xml:space="preserve">he commissioner </w:t>
      </w:r>
      <w:r w:rsidR="00957EAD" w:rsidRPr="00830ABD">
        <w:rPr>
          <w:rFonts w:eastAsia="Calibri" w:cs="Times New Roman"/>
          <w:color w:val="auto"/>
        </w:rPr>
        <w:t>by rule, unless it would violate state or federal law,</w:t>
      </w:r>
      <w:r w:rsidR="00957EAD">
        <w:rPr>
          <w:rFonts w:eastAsia="Calibri" w:cs="Times New Roman"/>
          <w:color w:val="000000"/>
        </w:rPr>
        <w:t xml:space="preserve"> </w:t>
      </w:r>
      <w:r w:rsidR="00957EAD">
        <w:t xml:space="preserve">to </w:t>
      </w:r>
      <w:r w:rsidR="00957EAD" w:rsidRPr="00517417">
        <w:t>develop procedures t</w:t>
      </w:r>
      <w:r w:rsidR="00957EAD">
        <w:t>hat will</w:t>
      </w:r>
      <w:r w:rsidR="00957EAD" w:rsidRPr="00517417">
        <w:t xml:space="preserve"> allow an employer to make financial contributions to or premium payments for an employee or retiree's individual consumer</w:t>
      </w:r>
      <w:r w:rsidR="00B9732F">
        <w:t>-</w:t>
      </w:r>
      <w:r w:rsidR="00957EAD" w:rsidRPr="00517417">
        <w:t>directed health insurance policy in a manner that eliminates or minimizes or provides positive state or federal tax consequences to the employer</w:t>
      </w:r>
      <w:r w:rsidR="00830ABD">
        <w:t>.</w:t>
      </w:r>
    </w:p>
    <w:p w:rsidR="002A06AB" w:rsidRPr="00E242A8" w:rsidRDefault="002A06AB" w:rsidP="00957EAD">
      <w:pPr>
        <w:suppressAutoHyphens/>
        <w:spacing w:line="240" w:lineRule="atLeast"/>
        <w:ind w:left="1440" w:firstLine="0"/>
        <w:rPr>
          <w:rFonts w:cs="Arial"/>
          <w:color w:val="000000"/>
          <w:szCs w:val="24"/>
        </w:rPr>
      </w:pPr>
    </w:p>
    <w:p w:rsidR="00CE5BA1" w:rsidRDefault="00CE5BA1" w:rsidP="00CE5BA1">
      <w:pPr>
        <w:suppressAutoHyphens/>
        <w:spacing w:line="240" w:lineRule="atLeast"/>
        <w:ind w:left="1440" w:firstLine="0"/>
        <w:rPr>
          <w:rFonts w:cs="Arial"/>
          <w:color w:val="000000"/>
          <w:szCs w:val="24"/>
        </w:rPr>
      </w:pPr>
      <w:r>
        <w:rPr>
          <w:rFonts w:cs="Arial"/>
          <w:color w:val="000000"/>
          <w:szCs w:val="24"/>
        </w:rPr>
        <w:t>Effective June 17, 2011.</w:t>
      </w:r>
    </w:p>
    <w:p w:rsidR="002A06AB" w:rsidRPr="00E242A8" w:rsidRDefault="002A06AB" w:rsidP="00957EAD">
      <w:pPr>
        <w:suppressAutoHyphens/>
        <w:spacing w:line="240" w:lineRule="atLeast"/>
        <w:ind w:left="1440" w:firstLine="0"/>
        <w:rPr>
          <w:rFonts w:cs="Arial"/>
          <w:color w:val="000000"/>
          <w:szCs w:val="24"/>
        </w:rPr>
      </w:pPr>
    </w:p>
    <w:p w:rsidR="002A06AB" w:rsidRPr="00E242A8" w:rsidRDefault="002A06AB" w:rsidP="00957EAD">
      <w:pPr>
        <w:suppressAutoHyphens/>
        <w:spacing w:line="240" w:lineRule="atLeast"/>
        <w:ind w:left="1440" w:firstLine="0"/>
        <w:rPr>
          <w:rFonts w:cs="Arial"/>
          <w:color w:val="000000"/>
          <w:szCs w:val="24"/>
        </w:rPr>
      </w:pPr>
    </w:p>
    <w:p w:rsidR="002A06AB" w:rsidRPr="00E242A8" w:rsidRDefault="002A06AB" w:rsidP="00915D18">
      <w:pPr>
        <w:pStyle w:val="Footer"/>
        <w:rPr>
          <w:rFonts w:cs="Arial"/>
        </w:rPr>
      </w:pPr>
      <w:r w:rsidRPr="00E242A8">
        <w:rPr>
          <w:rFonts w:cs="Arial"/>
        </w:rPr>
        <w:t xml:space="preserve">* </w:t>
      </w:r>
      <w:r w:rsidRPr="00E242A8">
        <w:rPr>
          <w:rFonts w:cs="Arial"/>
          <w:b w:val="0"/>
        </w:rPr>
        <w:t>This listing</w:t>
      </w:r>
      <w:r w:rsidRPr="00E242A8">
        <w:rPr>
          <w:rFonts w:cs="Arial"/>
        </w:rPr>
        <w:t xml:space="preserve"> MAY NOT INCLUDE </w:t>
      </w:r>
      <w:r w:rsidRPr="00E242A8">
        <w:rPr>
          <w:rFonts w:cs="Arial"/>
          <w:b w:val="0"/>
        </w:rPr>
        <w:t>all bills affecting your insurance business.</w:t>
      </w:r>
    </w:p>
    <w:sectPr w:rsidR="002A06AB" w:rsidRPr="00E242A8" w:rsidSect="00372E03">
      <w:headerReference w:type="default" r:id="rId34"/>
      <w:footerReference w:type="default" r:id="rId35"/>
      <w:headerReference w:type="first" r:id="rId36"/>
      <w:footerReference w:type="first" r:id="rId37"/>
      <w:pgSz w:w="12240" w:h="15840" w:code="1"/>
      <w:pgMar w:top="1440" w:right="1440" w:bottom="720" w:left="1440" w:header="720" w:footer="720" w:gutter="0"/>
      <w:pgNumType w:start="3"/>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D42" w:rsidRDefault="00183D42" w:rsidP="002A06AB">
      <w:r>
        <w:separator/>
      </w:r>
    </w:p>
  </w:endnote>
  <w:endnote w:type="continuationSeparator" w:id="0">
    <w:p w:rsidR="00183D42" w:rsidRDefault="00183D42" w:rsidP="002A06A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32F" w:rsidRPr="00D7344A" w:rsidRDefault="00B9732F" w:rsidP="002A06AB">
    <w:pPr>
      <w:pStyle w:val="Footer"/>
      <w:ind w:left="540" w:firstLine="0"/>
      <w:rPr>
        <w:b w:val="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32F" w:rsidRDefault="00B9732F">
    <w:pPr>
      <w:pStyle w:val="Footer"/>
    </w:pPr>
    <w:r w:rsidRPr="00D7344A">
      <w:t xml:space="preserve">This listing </w:t>
    </w:r>
    <w:r>
      <w:t xml:space="preserve">MAY NOT INCLUDE all bills affecting your insurance business.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D42" w:rsidRDefault="00183D42" w:rsidP="002A06AB">
      <w:r>
        <w:separator/>
      </w:r>
    </w:p>
  </w:footnote>
  <w:footnote w:type="continuationSeparator" w:id="0">
    <w:p w:rsidR="00183D42" w:rsidRDefault="00183D42" w:rsidP="002A06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32F" w:rsidRPr="00915D18" w:rsidRDefault="00B9732F" w:rsidP="00B92362">
    <w:pPr>
      <w:pStyle w:val="Header"/>
    </w:pPr>
    <w:r w:rsidRPr="00915D18">
      <w:t>Commissioner’s Bulletin No.</w:t>
    </w:r>
    <w:r>
      <w:t xml:space="preserve"> </w:t>
    </w:r>
    <w:r w:rsidRPr="00915D18">
      <w:t>B-</w:t>
    </w:r>
    <w:r w:rsidR="00BB4D50">
      <w:t>003</w:t>
    </w:r>
    <w:r w:rsidR="00052637">
      <w:t>7</w:t>
    </w:r>
    <w:r w:rsidRPr="00915D18">
      <w:t>-11</w:t>
    </w:r>
  </w:p>
  <w:p w:rsidR="00B9732F" w:rsidRPr="00915D18" w:rsidRDefault="00B9732F" w:rsidP="00B92362">
    <w:pPr>
      <w:pStyle w:val="Header"/>
    </w:pPr>
    <w:r w:rsidRPr="00915D18">
      <w:t xml:space="preserve">Attachment </w:t>
    </w:r>
    <w:r>
      <w:t>A</w:t>
    </w:r>
    <w:r w:rsidRPr="00915D18">
      <w:t xml:space="preserve">, Page </w:t>
    </w:r>
    <w:r w:rsidR="008D58AD" w:rsidRPr="005427A6">
      <w:rPr>
        <w:rStyle w:val="PageNumber"/>
      </w:rPr>
      <w:fldChar w:fldCharType="begin"/>
    </w:r>
    <w:r w:rsidRPr="005427A6">
      <w:rPr>
        <w:rStyle w:val="PageNumber"/>
      </w:rPr>
      <w:instrText xml:space="preserve"> PAGE   \* MERGEFORMAT </w:instrText>
    </w:r>
    <w:r w:rsidR="008D58AD" w:rsidRPr="005427A6">
      <w:rPr>
        <w:rStyle w:val="PageNumber"/>
      </w:rPr>
      <w:fldChar w:fldCharType="separate"/>
    </w:r>
    <w:r w:rsidR="00052E52">
      <w:rPr>
        <w:rStyle w:val="PageNumber"/>
        <w:noProof/>
      </w:rPr>
      <w:t>3</w:t>
    </w:r>
    <w:r w:rsidR="008D58AD" w:rsidRPr="005427A6">
      <w:rPr>
        <w:rStyle w:val="PageNumber"/>
      </w:rPr>
      <w:fldChar w:fldCharType="end"/>
    </w:r>
  </w:p>
  <w:p w:rsidR="00B9732F" w:rsidRDefault="00B973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32F" w:rsidRDefault="00B9732F" w:rsidP="000B7508">
    <w:pPr>
      <w:pStyle w:val="Header"/>
      <w:rPr>
        <w:sz w:val="20"/>
      </w:rPr>
    </w:pPr>
    <w:r>
      <w:rPr>
        <w:sz w:val="20"/>
      </w:rPr>
      <w:t>Commissioner’s Bulletin No. B-0041-05</w:t>
    </w:r>
  </w:p>
  <w:p w:rsidR="00B9732F" w:rsidRDefault="00B9732F" w:rsidP="000B7508">
    <w:pPr>
      <w:pStyle w:val="Header"/>
      <w:rPr>
        <w:sz w:val="20"/>
      </w:rPr>
    </w:pPr>
    <w:r>
      <w:rPr>
        <w:sz w:val="20"/>
      </w:rPr>
      <w:t xml:space="preserve">Page </w:t>
    </w:r>
    <w:r w:rsidR="008D58AD">
      <w:rPr>
        <w:rStyle w:val="PageNumber"/>
        <w:sz w:val="20"/>
      </w:rPr>
      <w:fldChar w:fldCharType="begin"/>
    </w:r>
    <w:r>
      <w:rPr>
        <w:rStyle w:val="PageNumber"/>
        <w:sz w:val="20"/>
      </w:rPr>
      <w:instrText xml:space="preserve"> PAGE </w:instrText>
    </w:r>
    <w:r w:rsidR="008D58AD">
      <w:rPr>
        <w:rStyle w:val="PageNumber"/>
        <w:sz w:val="20"/>
      </w:rPr>
      <w:fldChar w:fldCharType="separate"/>
    </w:r>
    <w:r>
      <w:rPr>
        <w:rStyle w:val="PageNumber"/>
        <w:noProof/>
        <w:sz w:val="20"/>
      </w:rPr>
      <w:t>16</w:t>
    </w:r>
    <w:r w:rsidR="008D58AD">
      <w:rPr>
        <w:rStyle w:val="PageNumber"/>
        <w:sz w:val="20"/>
      </w:rPr>
      <w:fldChar w:fldCharType="end"/>
    </w:r>
  </w:p>
  <w:p w:rsidR="00B9732F" w:rsidRDefault="00B973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CAEE97C8"/>
    <w:lvl w:ilvl="0">
      <w:start w:val="1"/>
      <w:numFmt w:val="lowerLetter"/>
      <w:pStyle w:val="ListNumber2"/>
      <w:lvlText w:val="%1)"/>
      <w:lvlJc w:val="left"/>
      <w:pPr>
        <w:ind w:left="720" w:hanging="360"/>
      </w:pPr>
    </w:lvl>
  </w:abstractNum>
  <w:abstractNum w:abstractNumId="1">
    <w:nsid w:val="FFFFFF82"/>
    <w:multiLevelType w:val="singleLevel"/>
    <w:tmpl w:val="6720C6E2"/>
    <w:lvl w:ilvl="0">
      <w:start w:val="1"/>
      <w:numFmt w:val="bullet"/>
      <w:pStyle w:val="ListBullet3"/>
      <w:lvlText w:val=""/>
      <w:lvlJc w:val="left"/>
      <w:pPr>
        <w:ind w:left="1080" w:hanging="360"/>
      </w:pPr>
      <w:rPr>
        <w:rFonts w:ascii="Wingdings" w:hAnsi="Wingdings" w:hint="default"/>
      </w:rPr>
    </w:lvl>
  </w:abstractNum>
  <w:abstractNum w:abstractNumId="2">
    <w:nsid w:val="FFFFFF83"/>
    <w:multiLevelType w:val="singleLevel"/>
    <w:tmpl w:val="FC96A73A"/>
    <w:lvl w:ilvl="0">
      <w:start w:val="1"/>
      <w:numFmt w:val="bullet"/>
      <w:pStyle w:val="ListBullet2"/>
      <w:lvlText w:val=""/>
      <w:lvlJc w:val="left"/>
      <w:pPr>
        <w:ind w:left="720" w:hanging="360"/>
      </w:pPr>
      <w:rPr>
        <w:rFonts w:ascii="Symbol" w:hAnsi="Symbol" w:hint="default"/>
      </w:rPr>
    </w:lvl>
  </w:abstractNum>
  <w:abstractNum w:abstractNumId="3">
    <w:nsid w:val="FFFFFF88"/>
    <w:multiLevelType w:val="singleLevel"/>
    <w:tmpl w:val="BCD820E2"/>
    <w:lvl w:ilvl="0">
      <w:start w:val="1"/>
      <w:numFmt w:val="decimal"/>
      <w:pStyle w:val="ListNumber"/>
      <w:lvlText w:val="%1."/>
      <w:lvlJc w:val="left"/>
      <w:pPr>
        <w:tabs>
          <w:tab w:val="num" w:pos="360"/>
        </w:tabs>
        <w:ind w:left="360" w:hanging="360"/>
      </w:pPr>
    </w:lvl>
  </w:abstractNum>
  <w:abstractNum w:abstractNumId="4">
    <w:nsid w:val="FFFFFF89"/>
    <w:multiLevelType w:val="singleLevel"/>
    <w:tmpl w:val="72EC2A8A"/>
    <w:lvl w:ilvl="0">
      <w:start w:val="1"/>
      <w:numFmt w:val="bullet"/>
      <w:pStyle w:val="ListBullet"/>
      <w:lvlText w:val=""/>
      <w:lvlJc w:val="left"/>
      <w:pPr>
        <w:tabs>
          <w:tab w:val="num" w:pos="360"/>
        </w:tabs>
        <w:ind w:left="360" w:hanging="360"/>
      </w:pPr>
      <w:rPr>
        <w:rFonts w:ascii="Symbol" w:hAnsi="Symbol"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857E2"/>
    <w:rsid w:val="00004F13"/>
    <w:rsid w:val="00026586"/>
    <w:rsid w:val="00030B49"/>
    <w:rsid w:val="00031698"/>
    <w:rsid w:val="000457AB"/>
    <w:rsid w:val="00052637"/>
    <w:rsid w:val="00052E52"/>
    <w:rsid w:val="00056927"/>
    <w:rsid w:val="00076242"/>
    <w:rsid w:val="00085F76"/>
    <w:rsid w:val="00092E3B"/>
    <w:rsid w:val="00093200"/>
    <w:rsid w:val="00097C8E"/>
    <w:rsid w:val="000A2C10"/>
    <w:rsid w:val="000B6763"/>
    <w:rsid w:val="000B7508"/>
    <w:rsid w:val="000C0624"/>
    <w:rsid w:val="000C2AAF"/>
    <w:rsid w:val="000D6FA1"/>
    <w:rsid w:val="000E72D3"/>
    <w:rsid w:val="000F0BAC"/>
    <w:rsid w:val="000F3DBC"/>
    <w:rsid w:val="000F7975"/>
    <w:rsid w:val="001061A7"/>
    <w:rsid w:val="00106AD2"/>
    <w:rsid w:val="00111BCB"/>
    <w:rsid w:val="00111DCD"/>
    <w:rsid w:val="00112A37"/>
    <w:rsid w:val="00116F69"/>
    <w:rsid w:val="00127136"/>
    <w:rsid w:val="001632AA"/>
    <w:rsid w:val="00167EE2"/>
    <w:rsid w:val="0018133A"/>
    <w:rsid w:val="00183D42"/>
    <w:rsid w:val="00194B3C"/>
    <w:rsid w:val="001A37AD"/>
    <w:rsid w:val="001A3C44"/>
    <w:rsid w:val="001D70F2"/>
    <w:rsid w:val="001E5A46"/>
    <w:rsid w:val="001F11DC"/>
    <w:rsid w:val="001F4A03"/>
    <w:rsid w:val="002053C3"/>
    <w:rsid w:val="00213FC8"/>
    <w:rsid w:val="00251297"/>
    <w:rsid w:val="00256D09"/>
    <w:rsid w:val="00290A09"/>
    <w:rsid w:val="002A06AB"/>
    <w:rsid w:val="002D52D6"/>
    <w:rsid w:val="003128BF"/>
    <w:rsid w:val="0034151A"/>
    <w:rsid w:val="00343E4D"/>
    <w:rsid w:val="00353808"/>
    <w:rsid w:val="00362A2A"/>
    <w:rsid w:val="00365729"/>
    <w:rsid w:val="00365B31"/>
    <w:rsid w:val="00372E03"/>
    <w:rsid w:val="003770F2"/>
    <w:rsid w:val="00377FC7"/>
    <w:rsid w:val="003A14E9"/>
    <w:rsid w:val="003B28AC"/>
    <w:rsid w:val="003B600B"/>
    <w:rsid w:val="003D37DC"/>
    <w:rsid w:val="003E0BCF"/>
    <w:rsid w:val="0041028E"/>
    <w:rsid w:val="00434BD4"/>
    <w:rsid w:val="00441031"/>
    <w:rsid w:val="00447EAD"/>
    <w:rsid w:val="00457CEE"/>
    <w:rsid w:val="004652F3"/>
    <w:rsid w:val="00471364"/>
    <w:rsid w:val="00492C8C"/>
    <w:rsid w:val="0049365D"/>
    <w:rsid w:val="004A3C2F"/>
    <w:rsid w:val="004C3DE9"/>
    <w:rsid w:val="004E1CFB"/>
    <w:rsid w:val="004E3D62"/>
    <w:rsid w:val="00516D47"/>
    <w:rsid w:val="00533BCA"/>
    <w:rsid w:val="005427A6"/>
    <w:rsid w:val="005429AB"/>
    <w:rsid w:val="0054336C"/>
    <w:rsid w:val="00546AF8"/>
    <w:rsid w:val="00552CA6"/>
    <w:rsid w:val="00555422"/>
    <w:rsid w:val="00561929"/>
    <w:rsid w:val="005772A1"/>
    <w:rsid w:val="00596271"/>
    <w:rsid w:val="005B70AF"/>
    <w:rsid w:val="005C28A4"/>
    <w:rsid w:val="005C4C46"/>
    <w:rsid w:val="005C7C42"/>
    <w:rsid w:val="005E5853"/>
    <w:rsid w:val="005E5F50"/>
    <w:rsid w:val="005F3563"/>
    <w:rsid w:val="005F6EF8"/>
    <w:rsid w:val="0062236E"/>
    <w:rsid w:val="00623922"/>
    <w:rsid w:val="006548E8"/>
    <w:rsid w:val="00657326"/>
    <w:rsid w:val="00663575"/>
    <w:rsid w:val="00684017"/>
    <w:rsid w:val="00687015"/>
    <w:rsid w:val="00692E48"/>
    <w:rsid w:val="006A4BEA"/>
    <w:rsid w:val="006A5578"/>
    <w:rsid w:val="006A6D43"/>
    <w:rsid w:val="006B2D72"/>
    <w:rsid w:val="006C1391"/>
    <w:rsid w:val="006D5EB8"/>
    <w:rsid w:val="0071421A"/>
    <w:rsid w:val="007166BF"/>
    <w:rsid w:val="0072324E"/>
    <w:rsid w:val="0073024C"/>
    <w:rsid w:val="00744154"/>
    <w:rsid w:val="0075295F"/>
    <w:rsid w:val="00763955"/>
    <w:rsid w:val="00766C15"/>
    <w:rsid w:val="00767A90"/>
    <w:rsid w:val="00775FDC"/>
    <w:rsid w:val="007A006F"/>
    <w:rsid w:val="007A35D1"/>
    <w:rsid w:val="007B04DE"/>
    <w:rsid w:val="007D4DC9"/>
    <w:rsid w:val="007D5656"/>
    <w:rsid w:val="008119A3"/>
    <w:rsid w:val="008151D4"/>
    <w:rsid w:val="00821A41"/>
    <w:rsid w:val="00821FE1"/>
    <w:rsid w:val="00830ABD"/>
    <w:rsid w:val="00831326"/>
    <w:rsid w:val="00831B23"/>
    <w:rsid w:val="00852964"/>
    <w:rsid w:val="008724D9"/>
    <w:rsid w:val="00874C1B"/>
    <w:rsid w:val="0087657D"/>
    <w:rsid w:val="00892B28"/>
    <w:rsid w:val="008A54C5"/>
    <w:rsid w:val="008C46C6"/>
    <w:rsid w:val="008C5385"/>
    <w:rsid w:val="008D58AD"/>
    <w:rsid w:val="00906E48"/>
    <w:rsid w:val="009136D7"/>
    <w:rsid w:val="00915D18"/>
    <w:rsid w:val="009229F0"/>
    <w:rsid w:val="009306CB"/>
    <w:rsid w:val="00932357"/>
    <w:rsid w:val="00934923"/>
    <w:rsid w:val="00934C60"/>
    <w:rsid w:val="00957EAD"/>
    <w:rsid w:val="00965CF5"/>
    <w:rsid w:val="00987B5C"/>
    <w:rsid w:val="00993EBF"/>
    <w:rsid w:val="00997765"/>
    <w:rsid w:val="00997BCB"/>
    <w:rsid w:val="009C191B"/>
    <w:rsid w:val="009D459C"/>
    <w:rsid w:val="009E4A5F"/>
    <w:rsid w:val="009E66A9"/>
    <w:rsid w:val="00A03871"/>
    <w:rsid w:val="00A03A25"/>
    <w:rsid w:val="00A31BF9"/>
    <w:rsid w:val="00A3255C"/>
    <w:rsid w:val="00A427E6"/>
    <w:rsid w:val="00A44184"/>
    <w:rsid w:val="00A702A7"/>
    <w:rsid w:val="00A712BE"/>
    <w:rsid w:val="00A71335"/>
    <w:rsid w:val="00A93B44"/>
    <w:rsid w:val="00A9521D"/>
    <w:rsid w:val="00AA3D41"/>
    <w:rsid w:val="00AB0004"/>
    <w:rsid w:val="00AD0DEB"/>
    <w:rsid w:val="00AE5B26"/>
    <w:rsid w:val="00AF1409"/>
    <w:rsid w:val="00AF796D"/>
    <w:rsid w:val="00B179F8"/>
    <w:rsid w:val="00B41BC0"/>
    <w:rsid w:val="00B479BA"/>
    <w:rsid w:val="00B535AB"/>
    <w:rsid w:val="00B74F8D"/>
    <w:rsid w:val="00B7772B"/>
    <w:rsid w:val="00B838CF"/>
    <w:rsid w:val="00B85020"/>
    <w:rsid w:val="00B92362"/>
    <w:rsid w:val="00B9732F"/>
    <w:rsid w:val="00BA2C6F"/>
    <w:rsid w:val="00BB18DD"/>
    <w:rsid w:val="00BB4D50"/>
    <w:rsid w:val="00BD43BC"/>
    <w:rsid w:val="00BE6D59"/>
    <w:rsid w:val="00BF6A66"/>
    <w:rsid w:val="00C24520"/>
    <w:rsid w:val="00C26461"/>
    <w:rsid w:val="00C276FC"/>
    <w:rsid w:val="00C3400D"/>
    <w:rsid w:val="00C447C0"/>
    <w:rsid w:val="00C62E4B"/>
    <w:rsid w:val="00C66008"/>
    <w:rsid w:val="00CB00FA"/>
    <w:rsid w:val="00CB075D"/>
    <w:rsid w:val="00CD3462"/>
    <w:rsid w:val="00CE5BA1"/>
    <w:rsid w:val="00D01834"/>
    <w:rsid w:val="00D111AD"/>
    <w:rsid w:val="00D124AC"/>
    <w:rsid w:val="00D20CCD"/>
    <w:rsid w:val="00D22FE6"/>
    <w:rsid w:val="00D2709A"/>
    <w:rsid w:val="00D32F40"/>
    <w:rsid w:val="00D50884"/>
    <w:rsid w:val="00D924B0"/>
    <w:rsid w:val="00DA5293"/>
    <w:rsid w:val="00DA66E0"/>
    <w:rsid w:val="00DB625E"/>
    <w:rsid w:val="00DF3389"/>
    <w:rsid w:val="00DF63E6"/>
    <w:rsid w:val="00E1156F"/>
    <w:rsid w:val="00E15C63"/>
    <w:rsid w:val="00E242A8"/>
    <w:rsid w:val="00E97435"/>
    <w:rsid w:val="00E97749"/>
    <w:rsid w:val="00EE5762"/>
    <w:rsid w:val="00F03573"/>
    <w:rsid w:val="00F03C92"/>
    <w:rsid w:val="00F229A0"/>
    <w:rsid w:val="00F22F87"/>
    <w:rsid w:val="00F26056"/>
    <w:rsid w:val="00F56266"/>
    <w:rsid w:val="00F61468"/>
    <w:rsid w:val="00F619ED"/>
    <w:rsid w:val="00F66C99"/>
    <w:rsid w:val="00F73F28"/>
    <w:rsid w:val="00F857E2"/>
    <w:rsid w:val="00F91CAB"/>
    <w:rsid w:val="00F944D9"/>
    <w:rsid w:val="00FA053A"/>
    <w:rsid w:val="00FA6A48"/>
    <w:rsid w:val="00FB532A"/>
    <w:rsid w:val="00FC4E6F"/>
    <w:rsid w:val="00FE42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semiHidden="0" w:qFormat="1"/>
    <w:lsdException w:name="List Number" w:semiHidden="0" w:qFormat="1"/>
    <w:lsdException w:name="List Bullet 2" w:semiHidden="0" w:qFormat="1"/>
    <w:lsdException w:name="List Bullet 3" w:semiHidden="0" w:qFormat="1"/>
    <w:lsdException w:name="List Number 2" w:semiHidden="0" w:qFormat="1"/>
    <w:lsdException w:name="Title" w:semiHidden="0" w:uiPriority="10" w:qFormat="1"/>
    <w:lsdException w:name="Signature" w:semiHidden="0" w:qFormat="1"/>
    <w:lsdException w:name="Default Paragraph Font" w:uiPriority="1" w:unhideWhenUsed="1"/>
    <w:lsdException w:name="Subtitle" w:uiPriority="11" w:qFormat="1"/>
    <w:lsdException w:name="Salutation" w:semiHidden="0" w:qFormat="1"/>
    <w:lsdException w:name="Date" w:semiHidden="0"/>
    <w:lsdException w:name="Block Text" w:semiHidden="0" w:qFormat="1"/>
    <w:lsdException w:name="Hyperlink" w:uiPriority="0"/>
    <w:lsdException w:name="Strong" w:semiHidden="0" w:uiPriority="22" w:qFormat="1"/>
    <w:lsdException w:name="Emphasis" w:semiHidden="0"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semiHidden="0"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2A06AB"/>
    <w:pPr>
      <w:spacing w:after="0" w:line="240" w:lineRule="auto"/>
      <w:ind w:left="2160" w:hanging="720"/>
    </w:pPr>
    <w:rPr>
      <w:rFonts w:ascii="Arial" w:hAnsi="Arial"/>
      <w:color w:val="000000" w:themeColor="text1"/>
      <w:sz w:val="24"/>
    </w:rPr>
  </w:style>
  <w:style w:type="paragraph" w:styleId="Heading1">
    <w:name w:val="heading 1"/>
    <w:basedOn w:val="BodyText"/>
    <w:next w:val="BodyText"/>
    <w:link w:val="Heading1Char"/>
    <w:autoRedefine/>
    <w:uiPriority w:val="9"/>
    <w:qFormat/>
    <w:rsid w:val="00657326"/>
    <w:pPr>
      <w:keepNext/>
      <w:keepLines/>
      <w:ind w:left="0" w:firstLine="0"/>
      <w:outlineLvl w:val="0"/>
    </w:pPr>
    <w:rPr>
      <w:rFonts w:eastAsiaTheme="majorEastAsia" w:cstheme="majorBidi"/>
      <w:b/>
      <w:bCs/>
      <w:smallCaps/>
      <w:sz w:val="28"/>
      <w:szCs w:val="28"/>
    </w:rPr>
  </w:style>
  <w:style w:type="paragraph" w:styleId="Heading2">
    <w:name w:val="heading 2"/>
    <w:basedOn w:val="BodyText"/>
    <w:next w:val="BodyText"/>
    <w:link w:val="Heading2Char"/>
    <w:autoRedefine/>
    <w:uiPriority w:val="9"/>
    <w:qFormat/>
    <w:rsid w:val="008151D4"/>
    <w:pPr>
      <w:ind w:left="0" w:firstLine="0"/>
      <w:outlineLvl w:val="1"/>
    </w:pPr>
    <w:rPr>
      <w:b/>
      <w:smallCaps/>
      <w:snapToGrid w:val="0"/>
      <w:sz w:val="28"/>
    </w:rPr>
  </w:style>
  <w:style w:type="paragraph" w:styleId="Heading3">
    <w:name w:val="heading 3"/>
    <w:basedOn w:val="BodyText"/>
    <w:next w:val="BodyText"/>
    <w:link w:val="Heading3Char"/>
    <w:autoRedefine/>
    <w:uiPriority w:val="9"/>
    <w:qFormat/>
    <w:rsid w:val="00555422"/>
    <w:pPr>
      <w:keepNext/>
      <w:keepLines/>
      <w:spacing w:before="200"/>
      <w:ind w:left="0" w:firstLine="0"/>
      <w:outlineLvl w:val="2"/>
    </w:pPr>
    <w:rPr>
      <w:rFonts w:eastAsiaTheme="majorEastAsia" w:cstheme="majorBidi"/>
      <w:b/>
      <w:bCs/>
      <w:snapToGrid w:val="0"/>
    </w:rPr>
  </w:style>
  <w:style w:type="paragraph" w:styleId="Heading4">
    <w:name w:val="heading 4"/>
    <w:basedOn w:val="BodyText"/>
    <w:next w:val="BodyText"/>
    <w:link w:val="Heading4Char"/>
    <w:autoRedefine/>
    <w:uiPriority w:val="9"/>
    <w:qFormat/>
    <w:rsid w:val="001A37AD"/>
    <w:pPr>
      <w:keepNext/>
      <w:keepLines/>
      <w:spacing w:before="200"/>
      <w:outlineLvl w:val="3"/>
    </w:pPr>
    <w:rPr>
      <w:rFonts w:eastAsiaTheme="majorEastAsia"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326"/>
    <w:rPr>
      <w:rFonts w:ascii="Arial" w:eastAsiaTheme="majorEastAsia" w:hAnsi="Arial" w:cstheme="majorBidi"/>
      <w:b/>
      <w:bCs/>
      <w:smallCaps/>
      <w:color w:val="000000"/>
      <w:sz w:val="28"/>
      <w:szCs w:val="28"/>
    </w:rPr>
  </w:style>
  <w:style w:type="character" w:customStyle="1" w:styleId="Heading2Char">
    <w:name w:val="Heading 2 Char"/>
    <w:basedOn w:val="DefaultParagraphFont"/>
    <w:link w:val="Heading2"/>
    <w:uiPriority w:val="9"/>
    <w:rsid w:val="008151D4"/>
    <w:rPr>
      <w:rFonts w:ascii="Arial" w:hAnsi="Arial" w:cs="Arial"/>
      <w:b/>
      <w:smallCaps/>
      <w:snapToGrid w:val="0"/>
      <w:color w:val="000000"/>
      <w:sz w:val="28"/>
      <w:szCs w:val="24"/>
    </w:rPr>
  </w:style>
  <w:style w:type="paragraph" w:styleId="Title">
    <w:name w:val="Title"/>
    <w:basedOn w:val="Normal"/>
    <w:next w:val="Normal"/>
    <w:link w:val="TitleChar"/>
    <w:autoRedefine/>
    <w:uiPriority w:val="10"/>
    <w:qFormat/>
    <w:rsid w:val="00FA053A"/>
    <w:pPr>
      <w:spacing w:after="300"/>
      <w:contextualSpacing/>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FA053A"/>
    <w:rPr>
      <w:rFonts w:ascii="Arial" w:eastAsiaTheme="majorEastAsia" w:hAnsi="Arial" w:cstheme="majorBidi"/>
      <w:b/>
      <w:color w:val="000000" w:themeColor="text1"/>
      <w:spacing w:val="5"/>
      <w:kern w:val="28"/>
      <w:sz w:val="32"/>
      <w:szCs w:val="52"/>
    </w:rPr>
  </w:style>
  <w:style w:type="paragraph" w:styleId="BlockText">
    <w:name w:val="Block Text"/>
    <w:basedOn w:val="Normal"/>
    <w:autoRedefine/>
    <w:uiPriority w:val="99"/>
    <w:semiHidden/>
    <w:qFormat/>
    <w:rsid w:val="00FA053A"/>
    <w:pPr>
      <w:ind w:left="1152" w:right="1152"/>
    </w:pPr>
    <w:rPr>
      <w:rFonts w:eastAsiaTheme="minorEastAsia"/>
      <w:iCs/>
    </w:rPr>
  </w:style>
  <w:style w:type="character" w:customStyle="1" w:styleId="Heading3Char">
    <w:name w:val="Heading 3 Char"/>
    <w:basedOn w:val="DefaultParagraphFont"/>
    <w:link w:val="Heading3"/>
    <w:uiPriority w:val="9"/>
    <w:rsid w:val="00555422"/>
    <w:rPr>
      <w:rFonts w:ascii="Arial" w:eastAsiaTheme="majorEastAsia" w:hAnsi="Arial" w:cstheme="majorBidi"/>
      <w:b/>
      <w:bCs/>
      <w:snapToGrid w:val="0"/>
      <w:color w:val="000000"/>
      <w:sz w:val="24"/>
      <w:szCs w:val="24"/>
    </w:rPr>
  </w:style>
  <w:style w:type="paragraph" w:styleId="Date">
    <w:name w:val="Date"/>
    <w:basedOn w:val="BodyText"/>
    <w:next w:val="BodyText"/>
    <w:link w:val="DateChar"/>
    <w:autoRedefine/>
    <w:uiPriority w:val="99"/>
    <w:rsid w:val="001A37AD"/>
  </w:style>
  <w:style w:type="paragraph" w:styleId="BodyText">
    <w:name w:val="Body Text"/>
    <w:basedOn w:val="Normal"/>
    <w:link w:val="BodyTextChar"/>
    <w:autoRedefine/>
    <w:uiPriority w:val="99"/>
    <w:rsid w:val="00830ABD"/>
    <w:pPr>
      <w:suppressAutoHyphens/>
      <w:ind w:left="2880" w:hanging="1440"/>
      <w:jc w:val="center"/>
    </w:pPr>
    <w:rPr>
      <w:rFonts w:cs="Arial"/>
      <w:color w:val="000000"/>
      <w:szCs w:val="24"/>
    </w:rPr>
  </w:style>
  <w:style w:type="character" w:customStyle="1" w:styleId="BodyTextChar">
    <w:name w:val="Body Text Char"/>
    <w:basedOn w:val="DefaultParagraphFont"/>
    <w:link w:val="BodyText"/>
    <w:uiPriority w:val="99"/>
    <w:rsid w:val="00830ABD"/>
    <w:rPr>
      <w:rFonts w:ascii="Arial" w:hAnsi="Arial" w:cs="Arial"/>
      <w:color w:val="000000"/>
      <w:sz w:val="24"/>
      <w:szCs w:val="24"/>
    </w:rPr>
  </w:style>
  <w:style w:type="character" w:customStyle="1" w:styleId="DateChar">
    <w:name w:val="Date Char"/>
    <w:basedOn w:val="DefaultParagraphFont"/>
    <w:link w:val="Date"/>
    <w:uiPriority w:val="99"/>
    <w:rsid w:val="001A37AD"/>
    <w:rPr>
      <w:rFonts w:ascii="Arial" w:hAnsi="Arial"/>
      <w:color w:val="000000" w:themeColor="text1"/>
    </w:rPr>
  </w:style>
  <w:style w:type="character" w:customStyle="1" w:styleId="Heading4Char">
    <w:name w:val="Heading 4 Char"/>
    <w:basedOn w:val="DefaultParagraphFont"/>
    <w:link w:val="Heading4"/>
    <w:uiPriority w:val="9"/>
    <w:rsid w:val="001A37AD"/>
    <w:rPr>
      <w:rFonts w:ascii="Arial" w:eastAsiaTheme="majorEastAsia" w:hAnsi="Arial" w:cstheme="majorBidi"/>
      <w:bCs/>
      <w:i/>
      <w:iCs/>
      <w:color w:val="000000" w:themeColor="text1"/>
    </w:rPr>
  </w:style>
  <w:style w:type="character" w:styleId="IntenseEmphasis">
    <w:name w:val="Intense Emphasis"/>
    <w:basedOn w:val="DefaultParagraphFont"/>
    <w:uiPriority w:val="21"/>
    <w:qFormat/>
    <w:rsid w:val="00D22FE6"/>
    <w:rPr>
      <w:rFonts w:ascii="Arial" w:hAnsi="Arial"/>
      <w:b/>
      <w:bCs/>
      <w:i/>
      <w:iCs/>
      <w:color w:val="000000" w:themeColor="text1"/>
      <w:sz w:val="24"/>
    </w:rPr>
  </w:style>
  <w:style w:type="character" w:styleId="Emphasis">
    <w:name w:val="Emphasis"/>
    <w:basedOn w:val="DefaultParagraphFont"/>
    <w:uiPriority w:val="20"/>
    <w:qFormat/>
    <w:rsid w:val="000C2AAF"/>
    <w:rPr>
      <w:b/>
      <w:i/>
      <w:iCs/>
    </w:rPr>
  </w:style>
  <w:style w:type="character" w:styleId="Strong">
    <w:name w:val="Strong"/>
    <w:basedOn w:val="DefaultParagraphFont"/>
    <w:uiPriority w:val="22"/>
    <w:qFormat/>
    <w:rsid w:val="001A37AD"/>
    <w:rPr>
      <w:b/>
      <w:bCs/>
    </w:rPr>
  </w:style>
  <w:style w:type="paragraph" w:styleId="ListBullet">
    <w:name w:val="List Bullet"/>
    <w:basedOn w:val="BodyText"/>
    <w:autoRedefine/>
    <w:uiPriority w:val="99"/>
    <w:qFormat/>
    <w:rsid w:val="00A44184"/>
    <w:pPr>
      <w:numPr>
        <w:numId w:val="1"/>
      </w:numPr>
      <w:contextualSpacing/>
    </w:pPr>
  </w:style>
  <w:style w:type="paragraph" w:styleId="ListBullet2">
    <w:name w:val="List Bullet 2"/>
    <w:basedOn w:val="BodyText"/>
    <w:autoRedefine/>
    <w:uiPriority w:val="99"/>
    <w:qFormat/>
    <w:rsid w:val="001A37AD"/>
    <w:pPr>
      <w:numPr>
        <w:numId w:val="2"/>
      </w:numPr>
      <w:contextualSpacing/>
    </w:pPr>
  </w:style>
  <w:style w:type="paragraph" w:styleId="ListBullet3">
    <w:name w:val="List Bullet 3"/>
    <w:basedOn w:val="BodyText"/>
    <w:autoRedefine/>
    <w:uiPriority w:val="99"/>
    <w:qFormat/>
    <w:rsid w:val="001A37AD"/>
    <w:pPr>
      <w:numPr>
        <w:numId w:val="3"/>
      </w:numPr>
      <w:contextualSpacing/>
    </w:pPr>
  </w:style>
  <w:style w:type="paragraph" w:styleId="ListNumber">
    <w:name w:val="List Number"/>
    <w:basedOn w:val="BodyText"/>
    <w:autoRedefine/>
    <w:uiPriority w:val="99"/>
    <w:qFormat/>
    <w:rsid w:val="001A37AD"/>
    <w:pPr>
      <w:numPr>
        <w:numId w:val="4"/>
      </w:numPr>
      <w:contextualSpacing/>
    </w:pPr>
  </w:style>
  <w:style w:type="paragraph" w:styleId="ListNumber2">
    <w:name w:val="List Number 2"/>
    <w:basedOn w:val="BodyText"/>
    <w:autoRedefine/>
    <w:uiPriority w:val="99"/>
    <w:qFormat/>
    <w:rsid w:val="001A37AD"/>
    <w:pPr>
      <w:numPr>
        <w:numId w:val="5"/>
      </w:numPr>
      <w:contextualSpacing/>
    </w:pPr>
  </w:style>
  <w:style w:type="paragraph" w:styleId="Salutation">
    <w:name w:val="Salutation"/>
    <w:basedOn w:val="BodyText"/>
    <w:next w:val="BodyText"/>
    <w:link w:val="SalutationChar"/>
    <w:autoRedefine/>
    <w:uiPriority w:val="99"/>
    <w:qFormat/>
    <w:rsid w:val="00A44184"/>
  </w:style>
  <w:style w:type="character" w:customStyle="1" w:styleId="SalutationChar">
    <w:name w:val="Salutation Char"/>
    <w:basedOn w:val="DefaultParagraphFont"/>
    <w:link w:val="Salutation"/>
    <w:uiPriority w:val="99"/>
    <w:rsid w:val="00A44184"/>
    <w:rPr>
      <w:rFonts w:ascii="Arial" w:hAnsi="Arial"/>
      <w:color w:val="000000" w:themeColor="text1"/>
    </w:rPr>
  </w:style>
  <w:style w:type="paragraph" w:styleId="Signature">
    <w:name w:val="Signature"/>
    <w:basedOn w:val="BodyText"/>
    <w:link w:val="SignatureChar"/>
    <w:autoRedefine/>
    <w:uiPriority w:val="99"/>
    <w:qFormat/>
    <w:rsid w:val="00A03871"/>
    <w:pPr>
      <w:spacing w:before="960"/>
    </w:pPr>
  </w:style>
  <w:style w:type="character" w:customStyle="1" w:styleId="SignatureChar">
    <w:name w:val="Signature Char"/>
    <w:basedOn w:val="DefaultParagraphFont"/>
    <w:link w:val="Signature"/>
    <w:uiPriority w:val="99"/>
    <w:rsid w:val="00A03871"/>
    <w:rPr>
      <w:rFonts w:ascii="Arial" w:hAnsi="Arial"/>
      <w:color w:val="000000" w:themeColor="text1"/>
    </w:rPr>
  </w:style>
  <w:style w:type="paragraph" w:styleId="Header">
    <w:name w:val="header"/>
    <w:basedOn w:val="Normal"/>
    <w:link w:val="HeaderChar"/>
    <w:rsid w:val="00B92362"/>
    <w:pPr>
      <w:tabs>
        <w:tab w:val="center" w:pos="4320"/>
        <w:tab w:val="right" w:pos="8640"/>
      </w:tabs>
      <w:ind w:left="720"/>
    </w:pPr>
    <w:rPr>
      <w:rFonts w:eastAsia="Times New Roman" w:cs="Times New Roman"/>
      <w:color w:val="auto"/>
      <w:sz w:val="22"/>
      <w:szCs w:val="20"/>
    </w:rPr>
  </w:style>
  <w:style w:type="character" w:customStyle="1" w:styleId="HeaderChar">
    <w:name w:val="Header Char"/>
    <w:basedOn w:val="DefaultParagraphFont"/>
    <w:link w:val="Header"/>
    <w:rsid w:val="00B92362"/>
    <w:rPr>
      <w:rFonts w:ascii="Arial" w:eastAsia="Times New Roman" w:hAnsi="Arial" w:cs="Times New Roman"/>
      <w:szCs w:val="20"/>
    </w:rPr>
  </w:style>
  <w:style w:type="paragraph" w:styleId="Footer">
    <w:name w:val="footer"/>
    <w:basedOn w:val="Normal"/>
    <w:link w:val="FooterChar"/>
    <w:rsid w:val="00915D18"/>
    <w:pPr>
      <w:tabs>
        <w:tab w:val="center" w:pos="4320"/>
        <w:tab w:val="right" w:pos="8640"/>
      </w:tabs>
      <w:ind w:left="720"/>
      <w:jc w:val="center"/>
    </w:pPr>
    <w:rPr>
      <w:rFonts w:eastAsia="Times New Roman" w:cs="Times New Roman"/>
      <w:b/>
      <w:color w:val="auto"/>
      <w:szCs w:val="20"/>
    </w:rPr>
  </w:style>
  <w:style w:type="character" w:customStyle="1" w:styleId="FooterChar">
    <w:name w:val="Footer Char"/>
    <w:basedOn w:val="DefaultParagraphFont"/>
    <w:link w:val="Footer"/>
    <w:rsid w:val="00915D18"/>
    <w:rPr>
      <w:rFonts w:ascii="Arial" w:eastAsia="Times New Roman" w:hAnsi="Arial" w:cs="Times New Roman"/>
      <w:b/>
      <w:sz w:val="24"/>
      <w:szCs w:val="20"/>
    </w:rPr>
  </w:style>
  <w:style w:type="character" w:styleId="PageNumber">
    <w:name w:val="page number"/>
    <w:basedOn w:val="DefaultParagraphFont"/>
    <w:rsid w:val="005F6EF8"/>
  </w:style>
  <w:style w:type="character" w:styleId="Hyperlink">
    <w:name w:val="Hyperlink"/>
    <w:basedOn w:val="DefaultParagraphFont"/>
    <w:rsid w:val="002A06AB"/>
    <w:rPr>
      <w:rFonts w:ascii="Arial" w:hAnsi="Arial"/>
      <w:color w:val="0000FF"/>
      <w:sz w:val="24"/>
      <w:u w:val="single"/>
    </w:rPr>
  </w:style>
  <w:style w:type="paragraph" w:styleId="DocumentMap">
    <w:name w:val="Document Map"/>
    <w:basedOn w:val="Normal"/>
    <w:link w:val="DocumentMapChar"/>
    <w:uiPriority w:val="99"/>
    <w:semiHidden/>
    <w:rsid w:val="00B92362"/>
    <w:rPr>
      <w:rFonts w:ascii="Tahoma" w:hAnsi="Tahoma" w:cs="Tahoma"/>
      <w:sz w:val="16"/>
      <w:szCs w:val="16"/>
    </w:rPr>
  </w:style>
  <w:style w:type="character" w:customStyle="1" w:styleId="DocumentMapChar">
    <w:name w:val="Document Map Char"/>
    <w:basedOn w:val="DefaultParagraphFont"/>
    <w:link w:val="DocumentMap"/>
    <w:uiPriority w:val="99"/>
    <w:semiHidden/>
    <w:rsid w:val="00B92362"/>
    <w:rPr>
      <w:rFonts w:ascii="Tahoma" w:hAnsi="Tahoma" w:cs="Tahoma"/>
      <w:color w:val="000000" w:themeColor="text1"/>
      <w:sz w:val="16"/>
      <w:szCs w:val="16"/>
    </w:rPr>
  </w:style>
  <w:style w:type="character" w:styleId="CommentReference">
    <w:name w:val="annotation reference"/>
    <w:basedOn w:val="DefaultParagraphFont"/>
    <w:uiPriority w:val="99"/>
    <w:semiHidden/>
    <w:unhideWhenUsed/>
    <w:rsid w:val="00DA66E0"/>
    <w:rPr>
      <w:sz w:val="16"/>
      <w:szCs w:val="16"/>
    </w:rPr>
  </w:style>
  <w:style w:type="paragraph" w:styleId="CommentText">
    <w:name w:val="annotation text"/>
    <w:basedOn w:val="Normal"/>
    <w:link w:val="CommentTextChar"/>
    <w:uiPriority w:val="99"/>
    <w:semiHidden/>
    <w:unhideWhenUsed/>
    <w:rsid w:val="00DA66E0"/>
    <w:pPr>
      <w:ind w:left="0" w:firstLine="0"/>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uiPriority w:val="99"/>
    <w:semiHidden/>
    <w:rsid w:val="00DA66E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DA66E0"/>
    <w:rPr>
      <w:rFonts w:ascii="Tahoma" w:hAnsi="Tahoma" w:cs="Tahoma"/>
      <w:sz w:val="16"/>
      <w:szCs w:val="16"/>
    </w:rPr>
  </w:style>
  <w:style w:type="character" w:customStyle="1" w:styleId="BalloonTextChar">
    <w:name w:val="Balloon Text Char"/>
    <w:basedOn w:val="DefaultParagraphFont"/>
    <w:link w:val="BalloonText"/>
    <w:uiPriority w:val="99"/>
    <w:semiHidden/>
    <w:rsid w:val="00DA66E0"/>
    <w:rPr>
      <w:rFonts w:ascii="Tahoma" w:hAnsi="Tahoma" w:cs="Tahoma"/>
      <w:color w:val="000000" w:themeColor="text1"/>
      <w:sz w:val="16"/>
      <w:szCs w:val="16"/>
    </w:rPr>
  </w:style>
  <w:style w:type="paragraph" w:styleId="NormalWeb">
    <w:name w:val="Normal (Web)"/>
    <w:basedOn w:val="Normal"/>
    <w:uiPriority w:val="99"/>
    <w:semiHidden/>
    <w:unhideWhenUsed/>
    <w:rsid w:val="00D22FE6"/>
    <w:pPr>
      <w:spacing w:before="100" w:beforeAutospacing="1" w:after="100" w:afterAutospacing="1"/>
      <w:ind w:left="0" w:firstLine="0"/>
    </w:pPr>
    <w:rPr>
      <w:rFonts w:ascii="Times New Roman" w:eastAsia="Times New Roman" w:hAnsi="Times New Roman" w:cs="Times New Roman"/>
      <w:color w:val="auto"/>
      <w:szCs w:val="24"/>
    </w:rPr>
  </w:style>
  <w:style w:type="character" w:styleId="FollowedHyperlink">
    <w:name w:val="FollowedHyperlink"/>
    <w:basedOn w:val="DefaultParagraphFont"/>
    <w:uiPriority w:val="99"/>
    <w:semiHidden/>
    <w:rsid w:val="00934923"/>
    <w:rPr>
      <w:color w:val="800080" w:themeColor="followedHyperlink"/>
      <w:u w:val="single"/>
    </w:rPr>
  </w:style>
  <w:style w:type="paragraph" w:styleId="Revision">
    <w:name w:val="Revision"/>
    <w:hidden/>
    <w:uiPriority w:val="99"/>
    <w:semiHidden/>
    <w:rsid w:val="006A5578"/>
    <w:pPr>
      <w:spacing w:after="0" w:line="240" w:lineRule="auto"/>
    </w:pPr>
    <w:rPr>
      <w:rFonts w:ascii="Arial" w:hAnsi="Arial"/>
      <w:color w:val="000000" w:themeColor="text1"/>
      <w:sz w:val="24"/>
    </w:rPr>
  </w:style>
</w:styles>
</file>

<file path=word/webSettings.xml><?xml version="1.0" encoding="utf-8"?>
<w:webSettings xmlns:r="http://schemas.openxmlformats.org/officeDocument/2006/relationships" xmlns:w="http://schemas.openxmlformats.org/wordprocessingml/2006/main">
  <w:divs>
    <w:div w:id="7291005">
      <w:bodyDiv w:val="1"/>
      <w:marLeft w:val="0"/>
      <w:marRight w:val="0"/>
      <w:marTop w:val="0"/>
      <w:marBottom w:val="0"/>
      <w:divBdr>
        <w:top w:val="none" w:sz="0" w:space="0" w:color="auto"/>
        <w:left w:val="none" w:sz="0" w:space="0" w:color="auto"/>
        <w:bottom w:val="none" w:sz="0" w:space="0" w:color="auto"/>
        <w:right w:val="none" w:sz="0" w:space="0" w:color="auto"/>
      </w:divBdr>
    </w:div>
    <w:div w:id="316156376">
      <w:bodyDiv w:val="1"/>
      <w:marLeft w:val="0"/>
      <w:marRight w:val="0"/>
      <w:marTop w:val="0"/>
      <w:marBottom w:val="0"/>
      <w:divBdr>
        <w:top w:val="none" w:sz="0" w:space="0" w:color="auto"/>
        <w:left w:val="none" w:sz="0" w:space="0" w:color="auto"/>
        <w:bottom w:val="none" w:sz="0" w:space="0" w:color="auto"/>
        <w:right w:val="none" w:sz="0" w:space="0" w:color="auto"/>
      </w:divBdr>
      <w:divsChild>
        <w:div w:id="820346349">
          <w:marLeft w:val="0"/>
          <w:marRight w:val="0"/>
          <w:marTop w:val="0"/>
          <w:marBottom w:val="0"/>
          <w:divBdr>
            <w:top w:val="none" w:sz="0" w:space="0" w:color="auto"/>
            <w:left w:val="none" w:sz="0" w:space="0" w:color="auto"/>
            <w:bottom w:val="none" w:sz="0" w:space="0" w:color="auto"/>
            <w:right w:val="none" w:sz="0" w:space="0" w:color="auto"/>
          </w:divBdr>
          <w:divsChild>
            <w:div w:id="987712532">
              <w:marLeft w:val="0"/>
              <w:marRight w:val="0"/>
              <w:marTop w:val="0"/>
              <w:marBottom w:val="0"/>
              <w:divBdr>
                <w:top w:val="none" w:sz="0" w:space="0" w:color="auto"/>
                <w:left w:val="none" w:sz="0" w:space="0" w:color="auto"/>
                <w:bottom w:val="none" w:sz="0" w:space="0" w:color="auto"/>
                <w:right w:val="none" w:sz="0" w:space="0" w:color="auto"/>
              </w:divBdr>
              <w:divsChild>
                <w:div w:id="792671848">
                  <w:marLeft w:val="0"/>
                  <w:marRight w:val="0"/>
                  <w:marTop w:val="0"/>
                  <w:marBottom w:val="0"/>
                  <w:divBdr>
                    <w:top w:val="none" w:sz="0" w:space="0" w:color="auto"/>
                    <w:left w:val="none" w:sz="0" w:space="0" w:color="auto"/>
                    <w:bottom w:val="none" w:sz="0" w:space="0" w:color="auto"/>
                    <w:right w:val="none" w:sz="0" w:space="0" w:color="auto"/>
                  </w:divBdr>
                  <w:divsChild>
                    <w:div w:id="18369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457227">
      <w:bodyDiv w:val="1"/>
      <w:marLeft w:val="0"/>
      <w:marRight w:val="0"/>
      <w:marTop w:val="0"/>
      <w:marBottom w:val="0"/>
      <w:divBdr>
        <w:top w:val="none" w:sz="0" w:space="0" w:color="auto"/>
        <w:left w:val="none" w:sz="0" w:space="0" w:color="auto"/>
        <w:bottom w:val="none" w:sz="0" w:space="0" w:color="auto"/>
        <w:right w:val="none" w:sz="0" w:space="0" w:color="auto"/>
      </w:divBdr>
    </w:div>
    <w:div w:id="759450393">
      <w:bodyDiv w:val="1"/>
      <w:marLeft w:val="0"/>
      <w:marRight w:val="0"/>
      <w:marTop w:val="0"/>
      <w:marBottom w:val="0"/>
      <w:divBdr>
        <w:top w:val="none" w:sz="0" w:space="0" w:color="auto"/>
        <w:left w:val="none" w:sz="0" w:space="0" w:color="auto"/>
        <w:bottom w:val="none" w:sz="0" w:space="0" w:color="auto"/>
        <w:right w:val="none" w:sz="0" w:space="0" w:color="auto"/>
      </w:divBdr>
    </w:div>
    <w:div w:id="771165062">
      <w:bodyDiv w:val="1"/>
      <w:marLeft w:val="0"/>
      <w:marRight w:val="0"/>
      <w:marTop w:val="0"/>
      <w:marBottom w:val="0"/>
      <w:divBdr>
        <w:top w:val="none" w:sz="0" w:space="0" w:color="auto"/>
        <w:left w:val="none" w:sz="0" w:space="0" w:color="auto"/>
        <w:bottom w:val="none" w:sz="0" w:space="0" w:color="auto"/>
        <w:right w:val="none" w:sz="0" w:space="0" w:color="auto"/>
      </w:divBdr>
    </w:div>
    <w:div w:id="1301302108">
      <w:bodyDiv w:val="1"/>
      <w:marLeft w:val="0"/>
      <w:marRight w:val="0"/>
      <w:marTop w:val="0"/>
      <w:marBottom w:val="0"/>
      <w:divBdr>
        <w:top w:val="none" w:sz="0" w:space="0" w:color="auto"/>
        <w:left w:val="none" w:sz="0" w:space="0" w:color="auto"/>
        <w:bottom w:val="none" w:sz="0" w:space="0" w:color="auto"/>
        <w:right w:val="none" w:sz="0" w:space="0" w:color="auto"/>
      </w:divBdr>
    </w:div>
    <w:div w:id="1590624539">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2">
          <w:marLeft w:val="0"/>
          <w:marRight w:val="0"/>
          <w:marTop w:val="0"/>
          <w:marBottom w:val="0"/>
          <w:divBdr>
            <w:top w:val="none" w:sz="0" w:space="0" w:color="auto"/>
            <w:left w:val="none" w:sz="0" w:space="0" w:color="auto"/>
            <w:bottom w:val="none" w:sz="0" w:space="0" w:color="auto"/>
            <w:right w:val="none" w:sz="0" w:space="0" w:color="auto"/>
          </w:divBdr>
          <w:divsChild>
            <w:div w:id="1722048761">
              <w:marLeft w:val="0"/>
              <w:marRight w:val="0"/>
              <w:marTop w:val="0"/>
              <w:marBottom w:val="0"/>
              <w:divBdr>
                <w:top w:val="none" w:sz="0" w:space="0" w:color="auto"/>
                <w:left w:val="none" w:sz="0" w:space="0" w:color="auto"/>
                <w:bottom w:val="none" w:sz="0" w:space="0" w:color="auto"/>
                <w:right w:val="none" w:sz="0" w:space="0" w:color="auto"/>
              </w:divBdr>
              <w:divsChild>
                <w:div w:id="145172088">
                  <w:marLeft w:val="0"/>
                  <w:marRight w:val="0"/>
                  <w:marTop w:val="0"/>
                  <w:marBottom w:val="0"/>
                  <w:divBdr>
                    <w:top w:val="none" w:sz="0" w:space="0" w:color="auto"/>
                    <w:left w:val="none" w:sz="0" w:space="0" w:color="auto"/>
                    <w:bottom w:val="none" w:sz="0" w:space="0" w:color="auto"/>
                    <w:right w:val="none" w:sz="0" w:space="0" w:color="auto"/>
                  </w:divBdr>
                  <w:divsChild>
                    <w:div w:id="118856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720543">
      <w:bodyDiv w:val="1"/>
      <w:marLeft w:val="0"/>
      <w:marRight w:val="0"/>
      <w:marTop w:val="0"/>
      <w:marBottom w:val="0"/>
      <w:divBdr>
        <w:top w:val="none" w:sz="0" w:space="0" w:color="auto"/>
        <w:left w:val="none" w:sz="0" w:space="0" w:color="auto"/>
        <w:bottom w:val="none" w:sz="0" w:space="0" w:color="auto"/>
        <w:right w:val="none" w:sz="0" w:space="0" w:color="auto"/>
      </w:divBdr>
    </w:div>
    <w:div w:id="2029401292">
      <w:bodyDiv w:val="1"/>
      <w:marLeft w:val="0"/>
      <w:marRight w:val="0"/>
      <w:marTop w:val="0"/>
      <w:marBottom w:val="0"/>
      <w:divBdr>
        <w:top w:val="none" w:sz="0" w:space="0" w:color="auto"/>
        <w:left w:val="none" w:sz="0" w:space="0" w:color="auto"/>
        <w:bottom w:val="none" w:sz="0" w:space="0" w:color="auto"/>
        <w:right w:val="none" w:sz="0" w:space="0" w:color="auto"/>
      </w:divBdr>
      <w:divsChild>
        <w:div w:id="687102031">
          <w:marLeft w:val="0"/>
          <w:marRight w:val="0"/>
          <w:marTop w:val="0"/>
          <w:marBottom w:val="0"/>
          <w:divBdr>
            <w:top w:val="none" w:sz="0" w:space="0" w:color="auto"/>
            <w:left w:val="none" w:sz="0" w:space="0" w:color="auto"/>
            <w:bottom w:val="none" w:sz="0" w:space="0" w:color="auto"/>
            <w:right w:val="none" w:sz="0" w:space="0" w:color="auto"/>
          </w:divBdr>
          <w:divsChild>
            <w:div w:id="1928884173">
              <w:marLeft w:val="0"/>
              <w:marRight w:val="0"/>
              <w:marTop w:val="0"/>
              <w:marBottom w:val="0"/>
              <w:divBdr>
                <w:top w:val="none" w:sz="0" w:space="0" w:color="auto"/>
                <w:left w:val="none" w:sz="0" w:space="0" w:color="auto"/>
                <w:bottom w:val="none" w:sz="0" w:space="0" w:color="auto"/>
                <w:right w:val="none" w:sz="0" w:space="0" w:color="auto"/>
              </w:divBdr>
              <w:divsChild>
                <w:div w:id="1895652508">
                  <w:marLeft w:val="0"/>
                  <w:marRight w:val="0"/>
                  <w:marTop w:val="0"/>
                  <w:marBottom w:val="0"/>
                  <w:divBdr>
                    <w:top w:val="none" w:sz="0" w:space="0" w:color="auto"/>
                    <w:left w:val="none" w:sz="0" w:space="0" w:color="auto"/>
                    <w:bottom w:val="none" w:sz="0" w:space="0" w:color="auto"/>
                    <w:right w:val="none" w:sz="0" w:space="0" w:color="auto"/>
                  </w:divBdr>
                  <w:divsChild>
                    <w:div w:id="67141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pitol.state.tx.us/tlodocs/82R/billtext/html/HB00300F.htm" TargetMode="External"/><Relationship Id="rId13" Type="http://schemas.openxmlformats.org/officeDocument/2006/relationships/hyperlink" Target="http://www.capitol.state.tx.us/tlodocs/82R/billtext/html/HB01720F.htm" TargetMode="External"/><Relationship Id="rId18" Type="http://schemas.openxmlformats.org/officeDocument/2006/relationships/hyperlink" Target="http://www.capitol.state.tx.us/tlodocs/82R/billtext/html/HB02154F.htm" TargetMode="External"/><Relationship Id="rId26" Type="http://schemas.openxmlformats.org/officeDocument/2006/relationships/hyperlink" Target="http://www.capitol.state.tx.us/tlodocs/82R/billtext/html/HB03017F.htm"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apitol.state.tx.us/tlodocs/82R/billtext/html/HB02292F.htm"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apitol.state.tx.us/tlodocs/82R/billtext/html/HB01674F.htm" TargetMode="External"/><Relationship Id="rId17" Type="http://schemas.openxmlformats.org/officeDocument/2006/relationships/hyperlink" Target="http://www.capitol.state.tx.us/tlodocs/82R/billtext/html/HB02098F.htm" TargetMode="External"/><Relationship Id="rId25" Type="http://schemas.openxmlformats.org/officeDocument/2006/relationships/hyperlink" Target="http://www.capitol.state.tx.us/tlodocs/82R/billtext/html/HB03004F.htm" TargetMode="External"/><Relationship Id="rId33" Type="http://schemas.openxmlformats.org/officeDocument/2006/relationships/hyperlink" Target="http://www.capitol.state.tx.us/tlodocs/82R/billtext/html/SB00859F.ht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apitol.state.tx.us/tlodocs/82R/billtext/html/HB02069F.htm" TargetMode="External"/><Relationship Id="rId20" Type="http://schemas.openxmlformats.org/officeDocument/2006/relationships/hyperlink" Target="http://www.capitol.state.tx.us/tlodocs/82R/billtext/html/HB02277F.htm" TargetMode="External"/><Relationship Id="rId29" Type="http://schemas.openxmlformats.org/officeDocument/2006/relationships/hyperlink" Target="http://www.capitol.state.tx.us/tlodocs/82R/billtext/html/SB00554F.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pitol.state.tx.us/tlodocs/82R/billtext/html/HB01405F.htm" TargetMode="External"/><Relationship Id="rId24" Type="http://schemas.openxmlformats.org/officeDocument/2006/relationships/hyperlink" Target="http://www.capitol.state.tx.us/tlodocs/82R/billtext/html/HB02699E.htm" TargetMode="External"/><Relationship Id="rId32" Type="http://schemas.openxmlformats.org/officeDocument/2006/relationships/hyperlink" Target="http://www.capitol.state.tx.us/tlodocs/82R/billtext/html/SB00822F.htm"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apitol.state.tx.us/tlodocs/82R/billtext/html/HB01951F.htm" TargetMode="External"/><Relationship Id="rId23" Type="http://schemas.openxmlformats.org/officeDocument/2006/relationships/hyperlink" Target="http://www.capitol.state.tx.us/tlodocs/82R/billtext/html/HB02605F.htm" TargetMode="External"/><Relationship Id="rId28" Type="http://schemas.openxmlformats.org/officeDocument/2006/relationships/hyperlink" Target="http://www.capitol.state.tx.us/tlodocs/82R/billtext/html/SB00425F.htm" TargetMode="External"/><Relationship Id="rId36" Type="http://schemas.openxmlformats.org/officeDocument/2006/relationships/header" Target="header2.xml"/><Relationship Id="rId10" Type="http://schemas.openxmlformats.org/officeDocument/2006/relationships/hyperlink" Target="http://www.capitol.state.tx.us/tlodocs/82R/billtext/html/HB01032F.htm" TargetMode="External"/><Relationship Id="rId19" Type="http://schemas.openxmlformats.org/officeDocument/2006/relationships/hyperlink" Target="http://www.capitol.state.tx.us/tlodocs/82R/billtext/html/HB02172F.htm" TargetMode="External"/><Relationship Id="rId31" Type="http://schemas.openxmlformats.org/officeDocument/2006/relationships/hyperlink" Target="http://www.capitol.state.tx.us/tlodocs/82R/billtext/html/SB00579F.htm" TargetMode="External"/><Relationship Id="rId4" Type="http://schemas.openxmlformats.org/officeDocument/2006/relationships/settings" Target="settings.xml"/><Relationship Id="rId9" Type="http://schemas.openxmlformats.org/officeDocument/2006/relationships/hyperlink" Target="http://www.capitol.state.tx.us/tlodocs/82R/billtext/html/HB00438F.htm" TargetMode="External"/><Relationship Id="rId14" Type="http://schemas.openxmlformats.org/officeDocument/2006/relationships/hyperlink" Target="http://www.capitol.state.tx.us/tlodocs/82R/billtext/html/HB01772F.htm" TargetMode="External"/><Relationship Id="rId22" Type="http://schemas.openxmlformats.org/officeDocument/2006/relationships/hyperlink" Target="http://www.capitol.state.tx.us/tlodocs/82R/billtext/html/HB02503F.htm" TargetMode="External"/><Relationship Id="rId27" Type="http://schemas.openxmlformats.org/officeDocument/2006/relationships/hyperlink" Target="http://www.capitol.state.tx.us/tlodocs/821/billtext/html/SB00007F.htm" TargetMode="External"/><Relationship Id="rId30" Type="http://schemas.openxmlformats.org/officeDocument/2006/relationships/hyperlink" Target="http://www.capitol.state.tx.us/tlodocs/82R/billtext/html/SB00567F.htm"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80A8A-D18B-4E58-9D35-90288A913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5100</Words>
  <Characters>29073</Characters>
  <Application>Microsoft Office Word</Application>
  <DocSecurity>0</DocSecurity>
  <Lines>242</Lines>
  <Paragraphs>68</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vt:lpstr/>
      <vt:lpstr>Attachment A</vt:lpstr>
      <vt:lpstr>House and Senate Bills Relating to</vt:lpstr>
      <vt:lpstr>Life, Accident, or Health Insurers; Health Maintenance Organizations; Independen</vt:lpstr>
      <vt:lpstr>    House Bills</vt:lpstr>
      <vt:lpstr>    Senate Bills</vt:lpstr>
    </vt:vector>
  </TitlesOfParts>
  <Company>Texas Department of Insurance</Company>
  <LinksUpToDate>false</LinksUpToDate>
  <CharactersWithSpaces>34105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scarr</dc:creator>
  <cp:lastModifiedBy> </cp:lastModifiedBy>
  <cp:revision>3</cp:revision>
  <cp:lastPrinted>2011-08-26T22:50:00Z</cp:lastPrinted>
  <dcterms:created xsi:type="dcterms:W3CDTF">2011-08-31T19:07:00Z</dcterms:created>
  <dcterms:modified xsi:type="dcterms:W3CDTF">2013-12-27T16:20:00Z</dcterms:modified>
</cp:coreProperties>
</file>